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7E9F7">
      <w:pPr>
        <w:ind w:firstLine="0" w:firstLineChars="0"/>
        <w:rPr>
          <w:rFonts w:ascii="宋体" w:hAnsi="宋体" w:eastAsia="宋体"/>
          <w:b/>
          <w:bCs/>
          <w:sz w:val="44"/>
          <w:szCs w:val="44"/>
          <w:highlight w:val="none"/>
        </w:rPr>
      </w:pPr>
    </w:p>
    <w:p w14:paraId="31C93353">
      <w:pPr>
        <w:ind w:firstLine="0" w:firstLineChars="0"/>
        <w:rPr>
          <w:rFonts w:ascii="宋体" w:hAnsi="宋体" w:eastAsia="宋体"/>
          <w:b/>
          <w:bCs/>
          <w:sz w:val="44"/>
          <w:szCs w:val="44"/>
          <w:highlight w:val="none"/>
        </w:rPr>
      </w:pPr>
    </w:p>
    <w:p w14:paraId="73DAA0C9">
      <w:pPr>
        <w:ind w:firstLine="0" w:firstLineChars="0"/>
        <w:rPr>
          <w:rFonts w:ascii="宋体" w:hAnsi="宋体" w:eastAsia="宋体"/>
          <w:b/>
          <w:bCs/>
          <w:sz w:val="44"/>
          <w:szCs w:val="44"/>
          <w:highlight w:val="none"/>
        </w:rPr>
      </w:pPr>
      <w:bookmarkStart w:id="43" w:name="_GoBack"/>
      <w:bookmarkEnd w:id="43"/>
    </w:p>
    <w:p w14:paraId="1A824C16">
      <w:pPr>
        <w:ind w:firstLine="0" w:firstLineChars="0"/>
        <w:jc w:val="center"/>
        <w:rPr>
          <w:rFonts w:hint="eastAsia" w:ascii="宋体" w:hAnsi="宋体" w:eastAsia="宋体"/>
          <w:b/>
          <w:bCs/>
          <w:sz w:val="44"/>
          <w:szCs w:val="44"/>
          <w:highlight w:val="none"/>
          <w:lang w:eastAsia="zh-CN"/>
        </w:rPr>
      </w:pPr>
      <w:r>
        <w:rPr>
          <w:rFonts w:hint="eastAsia" w:ascii="宋体" w:hAnsi="宋体" w:eastAsia="宋体"/>
          <w:b/>
          <w:bCs/>
          <w:sz w:val="44"/>
          <w:szCs w:val="44"/>
          <w:highlight w:val="none"/>
          <w:lang w:eastAsia="zh-CN"/>
        </w:rPr>
        <w:t>2024年度渭源县人民检察院</w:t>
      </w:r>
    </w:p>
    <w:p w14:paraId="0A4E478C">
      <w:pPr>
        <w:ind w:firstLine="0" w:firstLineChars="0"/>
        <w:jc w:val="center"/>
        <w:rPr>
          <w:rFonts w:ascii="宋体" w:hAnsi="宋体" w:eastAsia="宋体"/>
          <w:b/>
          <w:bCs/>
          <w:sz w:val="44"/>
          <w:szCs w:val="44"/>
          <w:highlight w:val="none"/>
        </w:rPr>
      </w:pPr>
      <w:r>
        <w:rPr>
          <w:rFonts w:ascii="宋体" w:hAnsi="宋体" w:eastAsia="宋体"/>
          <w:b/>
          <w:bCs/>
          <w:sz w:val="44"/>
          <w:szCs w:val="44"/>
          <w:highlight w:val="none"/>
        </w:rPr>
        <w:t>部门预算执行情况自评报告</w:t>
      </w:r>
    </w:p>
    <w:p w14:paraId="6F302E5C">
      <w:pPr>
        <w:widowControl/>
        <w:ind w:firstLine="0" w:firstLineChars="0"/>
        <w:jc w:val="center"/>
        <w:rPr>
          <w:rFonts w:ascii="宋体" w:hAnsi="宋体" w:eastAsia="宋体"/>
          <w:b/>
          <w:bCs/>
          <w:sz w:val="44"/>
          <w:szCs w:val="44"/>
          <w:highlight w:val="none"/>
        </w:rPr>
      </w:pPr>
    </w:p>
    <w:p w14:paraId="0267C91B">
      <w:pPr>
        <w:ind w:firstLine="883"/>
        <w:jc w:val="center"/>
        <w:rPr>
          <w:rFonts w:ascii="宋体" w:hAnsi="宋体" w:eastAsia="宋体"/>
          <w:b/>
          <w:bCs/>
          <w:sz w:val="44"/>
          <w:szCs w:val="44"/>
          <w:highlight w:val="none"/>
        </w:rPr>
      </w:pPr>
    </w:p>
    <w:p w14:paraId="331B8F15">
      <w:pPr>
        <w:ind w:firstLine="883"/>
        <w:jc w:val="center"/>
        <w:rPr>
          <w:rFonts w:ascii="宋体" w:hAnsi="宋体" w:eastAsia="宋体"/>
          <w:b/>
          <w:bCs/>
          <w:sz w:val="44"/>
          <w:szCs w:val="44"/>
          <w:highlight w:val="none"/>
        </w:rPr>
      </w:pPr>
    </w:p>
    <w:p w14:paraId="19E96006">
      <w:pPr>
        <w:ind w:firstLine="883"/>
        <w:jc w:val="center"/>
        <w:rPr>
          <w:rFonts w:ascii="宋体" w:hAnsi="宋体" w:eastAsia="宋体"/>
          <w:b/>
          <w:bCs/>
          <w:sz w:val="44"/>
          <w:szCs w:val="44"/>
          <w:highlight w:val="none"/>
        </w:rPr>
      </w:pPr>
    </w:p>
    <w:p w14:paraId="2AD6A057">
      <w:pPr>
        <w:ind w:firstLine="883"/>
        <w:jc w:val="center"/>
        <w:rPr>
          <w:rFonts w:ascii="宋体" w:hAnsi="宋体" w:eastAsia="宋体"/>
          <w:b/>
          <w:bCs/>
          <w:sz w:val="44"/>
          <w:szCs w:val="44"/>
          <w:highlight w:val="none"/>
        </w:rPr>
      </w:pPr>
    </w:p>
    <w:p w14:paraId="23AB6F46">
      <w:pPr>
        <w:ind w:firstLine="883"/>
        <w:jc w:val="center"/>
        <w:rPr>
          <w:rFonts w:ascii="宋体" w:hAnsi="宋体" w:eastAsia="宋体"/>
          <w:b/>
          <w:bCs/>
          <w:sz w:val="44"/>
          <w:szCs w:val="44"/>
          <w:highlight w:val="none"/>
        </w:rPr>
      </w:pPr>
    </w:p>
    <w:p w14:paraId="1A03B28F">
      <w:pPr>
        <w:ind w:firstLine="883"/>
        <w:jc w:val="center"/>
        <w:rPr>
          <w:rFonts w:ascii="宋体" w:hAnsi="宋体" w:eastAsia="宋体"/>
          <w:b/>
          <w:bCs/>
          <w:sz w:val="44"/>
          <w:szCs w:val="44"/>
          <w:highlight w:val="none"/>
        </w:rPr>
      </w:pPr>
    </w:p>
    <w:p w14:paraId="52215C5A">
      <w:pPr>
        <w:ind w:firstLine="883"/>
        <w:jc w:val="center"/>
        <w:rPr>
          <w:rFonts w:ascii="宋体" w:hAnsi="宋体" w:eastAsia="宋体"/>
          <w:b/>
          <w:bCs/>
          <w:sz w:val="44"/>
          <w:szCs w:val="44"/>
          <w:highlight w:val="none"/>
        </w:rPr>
      </w:pPr>
    </w:p>
    <w:p w14:paraId="7195E57C">
      <w:pPr>
        <w:ind w:firstLine="883"/>
        <w:jc w:val="center"/>
        <w:rPr>
          <w:rFonts w:ascii="宋体" w:hAnsi="宋体" w:eastAsia="宋体"/>
          <w:b/>
          <w:bCs/>
          <w:sz w:val="44"/>
          <w:szCs w:val="44"/>
          <w:highlight w:val="none"/>
        </w:rPr>
      </w:pPr>
    </w:p>
    <w:p w14:paraId="302006A9">
      <w:pPr>
        <w:ind w:firstLine="883"/>
        <w:jc w:val="center"/>
        <w:rPr>
          <w:rFonts w:ascii="宋体" w:hAnsi="宋体" w:eastAsia="宋体"/>
          <w:b/>
          <w:bCs/>
          <w:sz w:val="44"/>
          <w:szCs w:val="44"/>
          <w:highlight w:val="none"/>
        </w:rPr>
      </w:pPr>
    </w:p>
    <w:p w14:paraId="0420AC11">
      <w:pPr>
        <w:ind w:firstLine="0" w:firstLineChars="0"/>
        <w:jc w:val="center"/>
        <w:rPr>
          <w:rFonts w:hint="eastAsia" w:ascii="宋体" w:hAnsi="宋体" w:eastAsia="宋体"/>
          <w:b/>
          <w:bCs/>
          <w:sz w:val="32"/>
          <w:szCs w:val="32"/>
          <w:highlight w:val="none"/>
          <w:lang w:eastAsia="zh-CN"/>
        </w:rPr>
      </w:pPr>
      <w:r>
        <w:rPr>
          <w:rFonts w:hint="eastAsia" w:ascii="宋体" w:hAnsi="宋体" w:eastAsia="宋体"/>
          <w:b/>
          <w:bCs/>
          <w:sz w:val="32"/>
          <w:szCs w:val="32"/>
          <w:highlight w:val="none"/>
          <w:lang w:eastAsia="zh-CN"/>
        </w:rPr>
        <w:t>渭源县人民检察院</w:t>
      </w:r>
    </w:p>
    <w:p w14:paraId="6604F47F">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202</w:t>
      </w:r>
      <w:r>
        <w:rPr>
          <w:rFonts w:hint="eastAsia" w:ascii="宋体" w:hAnsi="宋体" w:eastAsia="宋体"/>
          <w:b/>
          <w:bCs/>
          <w:sz w:val="32"/>
          <w:szCs w:val="32"/>
          <w:highlight w:val="none"/>
          <w:lang w:val="en-US" w:eastAsia="zh-CN"/>
        </w:rPr>
        <w:t>5</w:t>
      </w:r>
      <w:r>
        <w:rPr>
          <w:rFonts w:hint="eastAsia" w:ascii="宋体" w:hAnsi="宋体" w:eastAsia="宋体"/>
          <w:b/>
          <w:bCs/>
          <w:sz w:val="32"/>
          <w:szCs w:val="32"/>
          <w:highlight w:val="none"/>
        </w:rPr>
        <w:t>年0</w:t>
      </w:r>
      <w:r>
        <w:rPr>
          <w:rFonts w:hint="eastAsia" w:ascii="宋体" w:hAnsi="宋体" w:eastAsia="宋体"/>
          <w:b/>
          <w:bCs/>
          <w:sz w:val="32"/>
          <w:szCs w:val="32"/>
          <w:highlight w:val="none"/>
          <w:lang w:val="en-US" w:eastAsia="zh-CN"/>
        </w:rPr>
        <w:t>3</w:t>
      </w:r>
      <w:r>
        <w:rPr>
          <w:rFonts w:hint="eastAsia" w:ascii="宋体" w:hAnsi="宋体" w:eastAsia="宋体"/>
          <w:b/>
          <w:bCs/>
          <w:sz w:val="32"/>
          <w:szCs w:val="32"/>
          <w:highlight w:val="none"/>
        </w:rPr>
        <w:t>月</w:t>
      </w:r>
      <w:r>
        <w:rPr>
          <w:rFonts w:hint="eastAsia" w:ascii="宋体" w:hAnsi="宋体" w:eastAsia="宋体"/>
          <w:b/>
          <w:bCs/>
          <w:sz w:val="32"/>
          <w:szCs w:val="32"/>
          <w:highlight w:val="none"/>
          <w:lang w:val="en-US" w:eastAsia="zh-CN"/>
        </w:rPr>
        <w:t>19</w:t>
      </w:r>
      <w:r>
        <w:rPr>
          <w:rFonts w:hint="eastAsia" w:ascii="宋体" w:hAnsi="宋体" w:eastAsia="宋体"/>
          <w:b/>
          <w:bCs/>
          <w:sz w:val="32"/>
          <w:szCs w:val="32"/>
          <w:highlight w:val="none"/>
        </w:rPr>
        <w:t>日</w:t>
      </w:r>
    </w:p>
    <w:sdt>
      <w:sdtPr>
        <w:rPr>
          <w:rFonts w:ascii="仿宋_GB2312" w:hAnsi="仿宋_GB2312" w:eastAsia="仿宋_GB2312" w:cstheme="minorBidi"/>
          <w:color w:val="auto"/>
          <w:kern w:val="2"/>
          <w:sz w:val="28"/>
          <w:szCs w:val="22"/>
          <w:highlight w:val="none"/>
          <w:lang w:val="zh-CN"/>
        </w:rPr>
        <w:id w:val="-435986753"/>
        <w:docPartObj>
          <w:docPartGallery w:val="Table of Contents"/>
          <w:docPartUnique/>
        </w:docPartObj>
      </w:sdtPr>
      <w:sdtEndPr>
        <w:rPr>
          <w:rFonts w:ascii="仿宋_GB2312" w:hAnsi="仿宋_GB2312" w:eastAsia="仿宋_GB2312" w:cstheme="minorBidi"/>
          <w:b/>
          <w:bCs/>
          <w:color w:val="auto"/>
          <w:kern w:val="2"/>
          <w:sz w:val="28"/>
          <w:szCs w:val="22"/>
          <w:highlight w:val="none"/>
          <w:lang w:val="zh-CN"/>
        </w:rPr>
      </w:sdtEndPr>
      <w:sdtContent>
        <w:p w14:paraId="72AEEC08">
          <w:pPr>
            <w:pStyle w:val="37"/>
            <w:spacing w:line="360" w:lineRule="auto"/>
            <w:ind w:firstLine="560"/>
            <w:jc w:val="center"/>
            <w:rPr>
              <w:rFonts w:ascii="黑体" w:hAnsi="黑体" w:eastAsia="黑体"/>
              <w:color w:val="auto"/>
              <w:highlight w:val="none"/>
            </w:rPr>
          </w:pPr>
          <w:r>
            <w:rPr>
              <w:rFonts w:ascii="黑体" w:hAnsi="黑体" w:eastAsia="黑体"/>
              <w:color w:val="auto"/>
              <w:highlight w:val="none"/>
              <w:lang w:val="zh-CN"/>
            </w:rPr>
            <w:t>目</w:t>
          </w:r>
          <w:r>
            <w:rPr>
              <w:rFonts w:hint="eastAsia" w:ascii="黑体" w:hAnsi="黑体" w:eastAsia="黑体"/>
              <w:color w:val="auto"/>
              <w:highlight w:val="none"/>
              <w:lang w:val="zh-CN"/>
            </w:rPr>
            <w:t xml:space="preserve"> </w:t>
          </w:r>
          <w:r>
            <w:rPr>
              <w:rFonts w:ascii="黑体" w:hAnsi="黑体" w:eastAsia="黑体"/>
              <w:color w:val="auto"/>
              <w:highlight w:val="none"/>
              <w:lang w:val="zh-CN"/>
            </w:rPr>
            <w:t xml:space="preserve"> 录</w:t>
          </w:r>
        </w:p>
        <w:p w14:paraId="3BDA44B3">
          <w:pPr>
            <w:pStyle w:val="18"/>
            <w:tabs>
              <w:tab w:val="right" w:leader="dot" w:pos="8306"/>
              <w:tab w:val="clear" w:pos="8296"/>
            </w:tabs>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_Toc18558 </w:instrText>
          </w:r>
          <w:r>
            <w:rPr>
              <w:highlight w:val="none"/>
            </w:rPr>
            <w:fldChar w:fldCharType="separate"/>
          </w:r>
          <w:r>
            <w:rPr>
              <w:rFonts w:hint="eastAsia"/>
              <w:highlight w:val="none"/>
            </w:rPr>
            <w:t>一、基本情况</w:t>
          </w:r>
          <w:r>
            <w:tab/>
          </w:r>
          <w:r>
            <w:fldChar w:fldCharType="begin"/>
          </w:r>
          <w:r>
            <w:instrText xml:space="preserve"> PAGEREF _Toc18558 \h </w:instrText>
          </w:r>
          <w:r>
            <w:fldChar w:fldCharType="separate"/>
          </w:r>
          <w:r>
            <w:t>1</w:t>
          </w:r>
          <w:r>
            <w:fldChar w:fldCharType="end"/>
          </w:r>
          <w:r>
            <w:rPr>
              <w:highlight w:val="none"/>
            </w:rPr>
            <w:fldChar w:fldCharType="end"/>
          </w:r>
        </w:p>
        <w:p w14:paraId="224406FB">
          <w:pPr>
            <w:pStyle w:val="19"/>
            <w:tabs>
              <w:tab w:val="right" w:leader="dot" w:pos="8306"/>
              <w:tab w:val="clear" w:pos="8296"/>
            </w:tabs>
          </w:pPr>
          <w:r>
            <w:rPr>
              <w:highlight w:val="none"/>
            </w:rPr>
            <w:fldChar w:fldCharType="begin"/>
          </w:r>
          <w:r>
            <w:rPr>
              <w:highlight w:val="none"/>
            </w:rPr>
            <w:instrText xml:space="preserve"> HYPERLINK \l _Toc19178 </w:instrText>
          </w:r>
          <w:r>
            <w:rPr>
              <w:highlight w:val="none"/>
            </w:rPr>
            <w:fldChar w:fldCharType="separate"/>
          </w:r>
          <w:r>
            <w:rPr>
              <w:rFonts w:hint="eastAsia"/>
              <w:highlight w:val="none"/>
            </w:rPr>
            <w:t>（一）部门主要职能</w:t>
          </w:r>
          <w:r>
            <w:tab/>
          </w:r>
          <w:r>
            <w:fldChar w:fldCharType="begin"/>
          </w:r>
          <w:r>
            <w:instrText xml:space="preserve"> PAGEREF _Toc19178 \h </w:instrText>
          </w:r>
          <w:r>
            <w:fldChar w:fldCharType="separate"/>
          </w:r>
          <w:r>
            <w:t>1</w:t>
          </w:r>
          <w:r>
            <w:fldChar w:fldCharType="end"/>
          </w:r>
          <w:r>
            <w:rPr>
              <w:highlight w:val="none"/>
            </w:rPr>
            <w:fldChar w:fldCharType="end"/>
          </w:r>
        </w:p>
        <w:p w14:paraId="055A109A">
          <w:pPr>
            <w:pStyle w:val="19"/>
            <w:tabs>
              <w:tab w:val="right" w:leader="dot" w:pos="8306"/>
              <w:tab w:val="clear" w:pos="8296"/>
            </w:tabs>
          </w:pPr>
          <w:r>
            <w:rPr>
              <w:highlight w:val="none"/>
            </w:rPr>
            <w:fldChar w:fldCharType="begin"/>
          </w:r>
          <w:r>
            <w:rPr>
              <w:highlight w:val="none"/>
            </w:rPr>
            <w:instrText xml:space="preserve"> HYPERLINK \l _Toc14748 </w:instrText>
          </w:r>
          <w:r>
            <w:rPr>
              <w:highlight w:val="none"/>
            </w:rPr>
            <w:fldChar w:fldCharType="separate"/>
          </w:r>
          <w:r>
            <w:rPr>
              <w:rFonts w:hint="eastAsia"/>
              <w:highlight w:val="none"/>
            </w:rPr>
            <w:t>（二）内设机构及所属单位概况</w:t>
          </w:r>
          <w:r>
            <w:tab/>
          </w:r>
          <w:r>
            <w:fldChar w:fldCharType="begin"/>
          </w:r>
          <w:r>
            <w:instrText xml:space="preserve"> PAGEREF _Toc14748 \h </w:instrText>
          </w:r>
          <w:r>
            <w:fldChar w:fldCharType="separate"/>
          </w:r>
          <w:r>
            <w:t>1</w:t>
          </w:r>
          <w:r>
            <w:fldChar w:fldCharType="end"/>
          </w:r>
          <w:r>
            <w:rPr>
              <w:highlight w:val="none"/>
            </w:rPr>
            <w:fldChar w:fldCharType="end"/>
          </w:r>
        </w:p>
        <w:p w14:paraId="2AE90186">
          <w:pPr>
            <w:pStyle w:val="18"/>
            <w:tabs>
              <w:tab w:val="right" w:leader="dot" w:pos="8306"/>
              <w:tab w:val="clear" w:pos="8296"/>
            </w:tabs>
          </w:pPr>
          <w:r>
            <w:rPr>
              <w:highlight w:val="none"/>
            </w:rPr>
            <w:fldChar w:fldCharType="begin"/>
          </w:r>
          <w:r>
            <w:rPr>
              <w:highlight w:val="none"/>
            </w:rPr>
            <w:instrText xml:space="preserve"> HYPERLINK \l _Toc21465 </w:instrText>
          </w:r>
          <w:r>
            <w:rPr>
              <w:highlight w:val="none"/>
            </w:rPr>
            <w:fldChar w:fldCharType="separate"/>
          </w:r>
          <w:r>
            <w:rPr>
              <w:rFonts w:hint="eastAsia"/>
              <w:highlight w:val="none"/>
            </w:rPr>
            <w:t>二、绩效自评工作组织开展情况</w:t>
          </w:r>
          <w:r>
            <w:tab/>
          </w:r>
          <w:r>
            <w:fldChar w:fldCharType="begin"/>
          </w:r>
          <w:r>
            <w:instrText xml:space="preserve"> PAGEREF _Toc21465 \h </w:instrText>
          </w:r>
          <w:r>
            <w:fldChar w:fldCharType="separate"/>
          </w:r>
          <w:r>
            <w:t>1</w:t>
          </w:r>
          <w:r>
            <w:fldChar w:fldCharType="end"/>
          </w:r>
          <w:r>
            <w:rPr>
              <w:highlight w:val="none"/>
            </w:rPr>
            <w:fldChar w:fldCharType="end"/>
          </w:r>
        </w:p>
        <w:p w14:paraId="6929F748">
          <w:pPr>
            <w:pStyle w:val="19"/>
            <w:tabs>
              <w:tab w:val="right" w:leader="dot" w:pos="8306"/>
              <w:tab w:val="clear" w:pos="8296"/>
            </w:tabs>
          </w:pPr>
          <w:r>
            <w:rPr>
              <w:highlight w:val="none"/>
            </w:rPr>
            <w:fldChar w:fldCharType="begin"/>
          </w:r>
          <w:r>
            <w:rPr>
              <w:highlight w:val="none"/>
            </w:rPr>
            <w:instrText xml:space="preserve"> HYPERLINK \l _Toc14743 </w:instrText>
          </w:r>
          <w:r>
            <w:rPr>
              <w:highlight w:val="none"/>
            </w:rPr>
            <w:fldChar w:fldCharType="separate"/>
          </w:r>
          <w:r>
            <w:rPr>
              <w:rFonts w:hint="eastAsia"/>
              <w:highlight w:val="none"/>
            </w:rPr>
            <w:t>（一）自评对象和范围</w:t>
          </w:r>
          <w:r>
            <w:tab/>
          </w:r>
          <w:r>
            <w:fldChar w:fldCharType="begin"/>
          </w:r>
          <w:r>
            <w:instrText xml:space="preserve"> PAGEREF _Toc14743 \h </w:instrText>
          </w:r>
          <w:r>
            <w:fldChar w:fldCharType="separate"/>
          </w:r>
          <w:r>
            <w:t>1</w:t>
          </w:r>
          <w:r>
            <w:fldChar w:fldCharType="end"/>
          </w:r>
          <w:r>
            <w:rPr>
              <w:highlight w:val="none"/>
            </w:rPr>
            <w:fldChar w:fldCharType="end"/>
          </w:r>
        </w:p>
        <w:p w14:paraId="073B3EEF">
          <w:pPr>
            <w:pStyle w:val="19"/>
            <w:tabs>
              <w:tab w:val="right" w:leader="dot" w:pos="8306"/>
              <w:tab w:val="clear" w:pos="8296"/>
            </w:tabs>
          </w:pPr>
          <w:r>
            <w:rPr>
              <w:highlight w:val="none"/>
            </w:rPr>
            <w:fldChar w:fldCharType="begin"/>
          </w:r>
          <w:r>
            <w:rPr>
              <w:highlight w:val="none"/>
            </w:rPr>
            <w:instrText xml:space="preserve"> HYPERLINK \l _Toc29865 </w:instrText>
          </w:r>
          <w:r>
            <w:rPr>
              <w:highlight w:val="none"/>
            </w:rPr>
            <w:fldChar w:fldCharType="separate"/>
          </w:r>
          <w:r>
            <w:rPr>
              <w:rFonts w:hint="eastAsia"/>
              <w:highlight w:val="none"/>
            </w:rPr>
            <w:t>（二）自评组织管理情况</w:t>
          </w:r>
          <w:r>
            <w:tab/>
          </w:r>
          <w:r>
            <w:fldChar w:fldCharType="begin"/>
          </w:r>
          <w:r>
            <w:instrText xml:space="preserve"> PAGEREF _Toc29865 \h </w:instrText>
          </w:r>
          <w:r>
            <w:fldChar w:fldCharType="separate"/>
          </w:r>
          <w:r>
            <w:t>2</w:t>
          </w:r>
          <w:r>
            <w:fldChar w:fldCharType="end"/>
          </w:r>
          <w:r>
            <w:rPr>
              <w:highlight w:val="none"/>
            </w:rPr>
            <w:fldChar w:fldCharType="end"/>
          </w:r>
        </w:p>
        <w:p w14:paraId="08A94776">
          <w:pPr>
            <w:pStyle w:val="18"/>
            <w:tabs>
              <w:tab w:val="right" w:leader="dot" w:pos="8306"/>
              <w:tab w:val="clear" w:pos="8296"/>
            </w:tabs>
          </w:pPr>
          <w:r>
            <w:rPr>
              <w:highlight w:val="none"/>
            </w:rPr>
            <w:fldChar w:fldCharType="begin"/>
          </w:r>
          <w:r>
            <w:rPr>
              <w:highlight w:val="none"/>
            </w:rPr>
            <w:instrText xml:space="preserve"> HYPERLINK \l _Toc8577 </w:instrText>
          </w:r>
          <w:r>
            <w:rPr>
              <w:highlight w:val="none"/>
            </w:rPr>
            <w:fldChar w:fldCharType="separate"/>
          </w:r>
          <w:r>
            <w:rPr>
              <w:rFonts w:hint="eastAsia"/>
              <w:highlight w:val="none"/>
            </w:rPr>
            <w:t>三、部门整体支出绩效自评情况分析</w:t>
          </w:r>
          <w:r>
            <w:tab/>
          </w:r>
          <w:r>
            <w:fldChar w:fldCharType="begin"/>
          </w:r>
          <w:r>
            <w:instrText xml:space="preserve"> PAGEREF _Toc8577 \h </w:instrText>
          </w:r>
          <w:r>
            <w:fldChar w:fldCharType="separate"/>
          </w:r>
          <w:r>
            <w:t>3</w:t>
          </w:r>
          <w:r>
            <w:fldChar w:fldCharType="end"/>
          </w:r>
          <w:r>
            <w:rPr>
              <w:highlight w:val="none"/>
            </w:rPr>
            <w:fldChar w:fldCharType="end"/>
          </w:r>
        </w:p>
        <w:p w14:paraId="71635380">
          <w:pPr>
            <w:pStyle w:val="19"/>
            <w:tabs>
              <w:tab w:val="right" w:leader="dot" w:pos="8306"/>
              <w:tab w:val="clear" w:pos="8296"/>
            </w:tabs>
          </w:pPr>
          <w:r>
            <w:rPr>
              <w:highlight w:val="none"/>
            </w:rPr>
            <w:fldChar w:fldCharType="begin"/>
          </w:r>
          <w:r>
            <w:rPr>
              <w:highlight w:val="none"/>
            </w:rPr>
            <w:instrText xml:space="preserve"> HYPERLINK \l _Toc22531 </w:instrText>
          </w:r>
          <w:r>
            <w:rPr>
              <w:highlight w:val="none"/>
            </w:rPr>
            <w:fldChar w:fldCharType="separate"/>
          </w:r>
          <w:r>
            <w:rPr>
              <w:rFonts w:hint="eastAsia"/>
              <w:highlight w:val="none"/>
            </w:rPr>
            <w:t>（一）部门决算情况</w:t>
          </w:r>
          <w:r>
            <w:tab/>
          </w:r>
          <w:r>
            <w:fldChar w:fldCharType="begin"/>
          </w:r>
          <w:r>
            <w:instrText xml:space="preserve"> PAGEREF _Toc22531 \h </w:instrText>
          </w:r>
          <w:r>
            <w:fldChar w:fldCharType="separate"/>
          </w:r>
          <w:r>
            <w:t>3</w:t>
          </w:r>
          <w:r>
            <w:fldChar w:fldCharType="end"/>
          </w:r>
          <w:r>
            <w:rPr>
              <w:highlight w:val="none"/>
            </w:rPr>
            <w:fldChar w:fldCharType="end"/>
          </w:r>
        </w:p>
        <w:p w14:paraId="4B60F6EC">
          <w:pPr>
            <w:pStyle w:val="19"/>
            <w:tabs>
              <w:tab w:val="right" w:leader="dot" w:pos="8306"/>
              <w:tab w:val="clear" w:pos="8296"/>
            </w:tabs>
          </w:pPr>
          <w:r>
            <w:rPr>
              <w:highlight w:val="none"/>
            </w:rPr>
            <w:fldChar w:fldCharType="begin"/>
          </w:r>
          <w:r>
            <w:rPr>
              <w:highlight w:val="none"/>
            </w:rPr>
            <w:instrText xml:space="preserve"> HYPERLINK \l _Toc14282 </w:instrText>
          </w:r>
          <w:r>
            <w:rPr>
              <w:highlight w:val="none"/>
            </w:rPr>
            <w:fldChar w:fldCharType="separate"/>
          </w:r>
          <w:r>
            <w:rPr>
              <w:rFonts w:hint="eastAsia"/>
              <w:highlight w:val="none"/>
            </w:rPr>
            <w:t>（二）总体绩效目标完成情况分析</w:t>
          </w:r>
          <w:r>
            <w:tab/>
          </w:r>
          <w:r>
            <w:fldChar w:fldCharType="begin"/>
          </w:r>
          <w:r>
            <w:instrText xml:space="preserve"> PAGEREF _Toc14282 \h </w:instrText>
          </w:r>
          <w:r>
            <w:fldChar w:fldCharType="separate"/>
          </w:r>
          <w:r>
            <w:t>3</w:t>
          </w:r>
          <w:r>
            <w:fldChar w:fldCharType="end"/>
          </w:r>
          <w:r>
            <w:rPr>
              <w:highlight w:val="none"/>
            </w:rPr>
            <w:fldChar w:fldCharType="end"/>
          </w:r>
        </w:p>
        <w:p w14:paraId="34D3E2A7">
          <w:pPr>
            <w:pStyle w:val="19"/>
            <w:tabs>
              <w:tab w:val="right" w:leader="dot" w:pos="8306"/>
              <w:tab w:val="clear" w:pos="8296"/>
            </w:tabs>
          </w:pPr>
          <w:r>
            <w:rPr>
              <w:highlight w:val="none"/>
            </w:rPr>
            <w:fldChar w:fldCharType="begin"/>
          </w:r>
          <w:r>
            <w:rPr>
              <w:highlight w:val="none"/>
            </w:rPr>
            <w:instrText xml:space="preserve"> HYPERLINK \l _Toc7999 </w:instrText>
          </w:r>
          <w:r>
            <w:rPr>
              <w:highlight w:val="none"/>
            </w:rPr>
            <w:fldChar w:fldCharType="separate"/>
          </w:r>
          <w:r>
            <w:rPr>
              <w:rFonts w:hint="eastAsia"/>
              <w:highlight w:val="none"/>
            </w:rPr>
            <w:t>（三）各项指标完成情况分析</w:t>
          </w:r>
          <w:r>
            <w:tab/>
          </w:r>
          <w:r>
            <w:fldChar w:fldCharType="begin"/>
          </w:r>
          <w:r>
            <w:instrText xml:space="preserve"> PAGEREF _Toc7999 \h </w:instrText>
          </w:r>
          <w:r>
            <w:fldChar w:fldCharType="separate"/>
          </w:r>
          <w:r>
            <w:t>4</w:t>
          </w:r>
          <w:r>
            <w:fldChar w:fldCharType="end"/>
          </w:r>
          <w:r>
            <w:rPr>
              <w:highlight w:val="none"/>
            </w:rPr>
            <w:fldChar w:fldCharType="end"/>
          </w:r>
        </w:p>
        <w:p w14:paraId="7C1E78A3">
          <w:pPr>
            <w:pStyle w:val="19"/>
            <w:tabs>
              <w:tab w:val="right" w:leader="dot" w:pos="8306"/>
              <w:tab w:val="clear" w:pos="8296"/>
            </w:tabs>
          </w:pPr>
          <w:r>
            <w:rPr>
              <w:highlight w:val="none"/>
            </w:rPr>
            <w:fldChar w:fldCharType="begin"/>
          </w:r>
          <w:r>
            <w:rPr>
              <w:highlight w:val="none"/>
            </w:rPr>
            <w:instrText xml:space="preserve"> HYPERLINK \l _Toc25201 </w:instrText>
          </w:r>
          <w:r>
            <w:rPr>
              <w:highlight w:val="none"/>
            </w:rPr>
            <w:fldChar w:fldCharType="separate"/>
          </w:r>
          <w:r>
            <w:rPr>
              <w:rFonts w:hint="eastAsia"/>
            </w:rPr>
            <w:t>（四）偏离绩效目标的原因及下一步改进措施</w:t>
          </w:r>
          <w:r>
            <w:tab/>
          </w:r>
          <w:r>
            <w:fldChar w:fldCharType="begin"/>
          </w:r>
          <w:r>
            <w:instrText xml:space="preserve"> PAGEREF _Toc25201 \h </w:instrText>
          </w:r>
          <w:r>
            <w:fldChar w:fldCharType="separate"/>
          </w:r>
          <w:r>
            <w:t>12</w:t>
          </w:r>
          <w:r>
            <w:fldChar w:fldCharType="end"/>
          </w:r>
          <w:r>
            <w:rPr>
              <w:highlight w:val="none"/>
            </w:rPr>
            <w:fldChar w:fldCharType="end"/>
          </w:r>
        </w:p>
        <w:p w14:paraId="16A7CBDF">
          <w:pPr>
            <w:pStyle w:val="18"/>
            <w:tabs>
              <w:tab w:val="right" w:leader="dot" w:pos="8306"/>
              <w:tab w:val="clear" w:pos="8296"/>
            </w:tabs>
          </w:pPr>
          <w:r>
            <w:rPr>
              <w:highlight w:val="none"/>
            </w:rPr>
            <w:fldChar w:fldCharType="begin"/>
          </w:r>
          <w:r>
            <w:rPr>
              <w:highlight w:val="none"/>
            </w:rPr>
            <w:instrText xml:space="preserve"> HYPERLINK \l _Toc16988 </w:instrText>
          </w:r>
          <w:r>
            <w:rPr>
              <w:highlight w:val="none"/>
            </w:rPr>
            <w:fldChar w:fldCharType="separate"/>
          </w:r>
          <w:r>
            <w:rPr>
              <w:rFonts w:hint="eastAsia"/>
            </w:rPr>
            <w:t>四、部门预算项目支出绩效自评情况分析</w:t>
          </w:r>
          <w:r>
            <w:tab/>
          </w:r>
          <w:r>
            <w:fldChar w:fldCharType="begin"/>
          </w:r>
          <w:r>
            <w:instrText xml:space="preserve"> PAGEREF _Toc16988 \h </w:instrText>
          </w:r>
          <w:r>
            <w:fldChar w:fldCharType="separate"/>
          </w:r>
          <w:r>
            <w:t>13</w:t>
          </w:r>
          <w:r>
            <w:fldChar w:fldCharType="end"/>
          </w:r>
          <w:r>
            <w:rPr>
              <w:highlight w:val="none"/>
            </w:rPr>
            <w:fldChar w:fldCharType="end"/>
          </w:r>
        </w:p>
        <w:p w14:paraId="1362F358">
          <w:pPr>
            <w:pStyle w:val="19"/>
            <w:tabs>
              <w:tab w:val="right" w:leader="dot" w:pos="8306"/>
              <w:tab w:val="clear" w:pos="8296"/>
            </w:tabs>
          </w:pPr>
          <w:r>
            <w:rPr>
              <w:highlight w:val="none"/>
            </w:rPr>
            <w:fldChar w:fldCharType="begin"/>
          </w:r>
          <w:r>
            <w:rPr>
              <w:highlight w:val="none"/>
            </w:rPr>
            <w:instrText xml:space="preserve"> HYPERLINK \l _Toc9097 </w:instrText>
          </w:r>
          <w:r>
            <w:rPr>
              <w:highlight w:val="none"/>
            </w:rPr>
            <w:fldChar w:fldCharType="separate"/>
          </w:r>
          <w:r>
            <w:rPr>
              <w:rFonts w:hint="eastAsia"/>
            </w:rPr>
            <w:t>（一）</w:t>
          </w:r>
          <w:r>
            <w:t>项目</w:t>
          </w:r>
          <w:r>
            <w:rPr>
              <w:rFonts w:hint="eastAsia"/>
              <w:lang w:val="en-US" w:eastAsia="zh-CN"/>
            </w:rPr>
            <w:t>1</w:t>
          </w:r>
          <w:r>
            <w:t>-</w:t>
          </w:r>
          <w:r>
            <w:rPr>
              <w:rFonts w:hint="eastAsia"/>
            </w:rPr>
            <w:t>检察业务综合保障经费</w:t>
          </w:r>
          <w:r>
            <w:tab/>
          </w:r>
          <w:r>
            <w:fldChar w:fldCharType="begin"/>
          </w:r>
          <w:r>
            <w:instrText xml:space="preserve"> PAGEREF _Toc9097 \h </w:instrText>
          </w:r>
          <w:r>
            <w:fldChar w:fldCharType="separate"/>
          </w:r>
          <w:r>
            <w:t>13</w:t>
          </w:r>
          <w:r>
            <w:fldChar w:fldCharType="end"/>
          </w:r>
          <w:r>
            <w:rPr>
              <w:highlight w:val="none"/>
            </w:rPr>
            <w:fldChar w:fldCharType="end"/>
          </w:r>
        </w:p>
        <w:p w14:paraId="287A4778">
          <w:pPr>
            <w:pStyle w:val="19"/>
            <w:tabs>
              <w:tab w:val="right" w:leader="dot" w:pos="8306"/>
              <w:tab w:val="clear" w:pos="8296"/>
            </w:tabs>
          </w:pPr>
          <w:r>
            <w:rPr>
              <w:highlight w:val="none"/>
            </w:rPr>
            <w:fldChar w:fldCharType="begin"/>
          </w:r>
          <w:r>
            <w:rPr>
              <w:highlight w:val="none"/>
            </w:rPr>
            <w:instrText xml:space="preserve"> HYPERLINK \l _Toc17640 </w:instrText>
          </w:r>
          <w:r>
            <w:rPr>
              <w:highlight w:val="none"/>
            </w:rPr>
            <w:fldChar w:fldCharType="separate"/>
          </w:r>
          <w:r>
            <w:rPr>
              <w:rFonts w:hint="eastAsia"/>
            </w:rPr>
            <w:t>（</w:t>
          </w:r>
          <w:r>
            <w:rPr>
              <w:rFonts w:hint="eastAsia"/>
              <w:lang w:val="en-US" w:eastAsia="zh-CN"/>
            </w:rPr>
            <w:t>二</w:t>
          </w:r>
          <w:r>
            <w:rPr>
              <w:rFonts w:hint="eastAsia"/>
            </w:rPr>
            <w:t>）</w:t>
          </w:r>
          <w:r>
            <w:t>项目</w:t>
          </w:r>
          <w:r>
            <w:rPr>
              <w:rFonts w:hint="eastAsia"/>
              <w:lang w:val="en-US" w:eastAsia="zh-CN"/>
            </w:rPr>
            <w:t>2</w:t>
          </w:r>
          <w:r>
            <w:t>-</w:t>
          </w:r>
          <w:r>
            <w:rPr>
              <w:rFonts w:hint="eastAsia"/>
            </w:rPr>
            <w:t>中</w:t>
          </w:r>
          <w:r>
            <w:rPr>
              <w:rFonts w:hint="eastAsia" w:hAnsi="宋体"/>
              <w:szCs w:val="28"/>
            </w:rPr>
            <w:t>央政法转移支付资金</w:t>
          </w:r>
          <w:r>
            <w:tab/>
          </w:r>
          <w:r>
            <w:fldChar w:fldCharType="begin"/>
          </w:r>
          <w:r>
            <w:instrText xml:space="preserve"> PAGEREF _Toc17640 \h </w:instrText>
          </w:r>
          <w:r>
            <w:fldChar w:fldCharType="separate"/>
          </w:r>
          <w:r>
            <w:t>18</w:t>
          </w:r>
          <w:r>
            <w:fldChar w:fldCharType="end"/>
          </w:r>
          <w:r>
            <w:rPr>
              <w:highlight w:val="none"/>
            </w:rPr>
            <w:fldChar w:fldCharType="end"/>
          </w:r>
        </w:p>
        <w:p w14:paraId="5C267502">
          <w:pPr>
            <w:pStyle w:val="18"/>
            <w:tabs>
              <w:tab w:val="right" w:leader="dot" w:pos="8306"/>
              <w:tab w:val="clear" w:pos="8296"/>
            </w:tabs>
          </w:pPr>
          <w:r>
            <w:rPr>
              <w:highlight w:val="none"/>
            </w:rPr>
            <w:fldChar w:fldCharType="begin"/>
          </w:r>
          <w:r>
            <w:rPr>
              <w:highlight w:val="none"/>
            </w:rPr>
            <w:instrText xml:space="preserve"> HYPERLINK \l _Toc31497 </w:instrText>
          </w:r>
          <w:r>
            <w:rPr>
              <w:highlight w:val="none"/>
            </w:rPr>
            <w:fldChar w:fldCharType="separate"/>
          </w:r>
          <w:r>
            <w:rPr>
              <w:rFonts w:hint="eastAsia"/>
              <w:lang w:val="en-US" w:eastAsia="zh-CN"/>
            </w:rPr>
            <w:t>五</w:t>
          </w:r>
          <w:r>
            <w:rPr>
              <w:rFonts w:hint="eastAsia"/>
            </w:rPr>
            <w:t>、绩效自评结果拟应用和公开情况</w:t>
          </w:r>
          <w:r>
            <w:tab/>
          </w:r>
          <w:r>
            <w:fldChar w:fldCharType="begin"/>
          </w:r>
          <w:r>
            <w:instrText xml:space="preserve"> PAGEREF _Toc31497 \h </w:instrText>
          </w:r>
          <w:r>
            <w:fldChar w:fldCharType="separate"/>
          </w:r>
          <w:r>
            <w:t>23</w:t>
          </w:r>
          <w:r>
            <w:fldChar w:fldCharType="end"/>
          </w:r>
          <w:r>
            <w:rPr>
              <w:highlight w:val="none"/>
            </w:rPr>
            <w:fldChar w:fldCharType="end"/>
          </w:r>
        </w:p>
        <w:p w14:paraId="005D7F05">
          <w:pPr>
            <w:pStyle w:val="19"/>
            <w:tabs>
              <w:tab w:val="right" w:leader="dot" w:pos="8306"/>
              <w:tab w:val="clear" w:pos="8296"/>
            </w:tabs>
          </w:pPr>
          <w:r>
            <w:rPr>
              <w:highlight w:val="none"/>
            </w:rPr>
            <w:fldChar w:fldCharType="begin"/>
          </w:r>
          <w:r>
            <w:rPr>
              <w:highlight w:val="none"/>
            </w:rPr>
            <w:instrText xml:space="preserve"> HYPERLINK \l _Toc3864 </w:instrText>
          </w:r>
          <w:r>
            <w:rPr>
              <w:highlight w:val="none"/>
            </w:rPr>
            <w:fldChar w:fldCharType="separate"/>
          </w:r>
          <w:r>
            <w:rPr>
              <w:rFonts w:hint="eastAsia"/>
              <w:lang w:val="en-US" w:eastAsia="zh-CN"/>
            </w:rPr>
            <w:t>（一）</w:t>
          </w:r>
          <w:r>
            <w:rPr>
              <w:rFonts w:hint="eastAsia"/>
              <w:lang w:eastAsia="zh-CN"/>
            </w:rPr>
            <w:t>结果应用</w:t>
          </w:r>
          <w:r>
            <w:tab/>
          </w:r>
          <w:r>
            <w:fldChar w:fldCharType="begin"/>
          </w:r>
          <w:r>
            <w:instrText xml:space="preserve"> PAGEREF _Toc3864 \h </w:instrText>
          </w:r>
          <w:r>
            <w:fldChar w:fldCharType="separate"/>
          </w:r>
          <w:r>
            <w:t>23</w:t>
          </w:r>
          <w:r>
            <w:fldChar w:fldCharType="end"/>
          </w:r>
          <w:r>
            <w:rPr>
              <w:highlight w:val="none"/>
            </w:rPr>
            <w:fldChar w:fldCharType="end"/>
          </w:r>
        </w:p>
        <w:p w14:paraId="04AADD79">
          <w:pPr>
            <w:pStyle w:val="19"/>
            <w:tabs>
              <w:tab w:val="right" w:leader="dot" w:pos="8306"/>
              <w:tab w:val="clear" w:pos="8296"/>
            </w:tabs>
          </w:pPr>
          <w:r>
            <w:rPr>
              <w:highlight w:val="none"/>
            </w:rPr>
            <w:fldChar w:fldCharType="begin"/>
          </w:r>
          <w:r>
            <w:rPr>
              <w:highlight w:val="none"/>
            </w:rPr>
            <w:instrText xml:space="preserve"> HYPERLINK \l _Toc24583 </w:instrText>
          </w:r>
          <w:r>
            <w:rPr>
              <w:highlight w:val="none"/>
            </w:rPr>
            <w:fldChar w:fldCharType="separate"/>
          </w:r>
          <w:r>
            <w:rPr>
              <w:rFonts w:hint="eastAsia"/>
              <w:lang w:val="en-US" w:eastAsia="zh-CN"/>
            </w:rPr>
            <w:t>（二）结果公开</w:t>
          </w:r>
          <w:r>
            <w:tab/>
          </w:r>
          <w:r>
            <w:fldChar w:fldCharType="begin"/>
          </w:r>
          <w:r>
            <w:instrText xml:space="preserve"> PAGEREF _Toc24583 \h </w:instrText>
          </w:r>
          <w:r>
            <w:fldChar w:fldCharType="separate"/>
          </w:r>
          <w:r>
            <w:t>23</w:t>
          </w:r>
          <w:r>
            <w:fldChar w:fldCharType="end"/>
          </w:r>
          <w:r>
            <w:rPr>
              <w:highlight w:val="none"/>
            </w:rPr>
            <w:fldChar w:fldCharType="end"/>
          </w:r>
        </w:p>
        <w:p w14:paraId="30294A80">
          <w:pPr>
            <w:pStyle w:val="18"/>
            <w:tabs>
              <w:tab w:val="right" w:leader="dot" w:pos="8306"/>
              <w:tab w:val="clear" w:pos="8296"/>
            </w:tabs>
          </w:pPr>
          <w:r>
            <w:rPr>
              <w:highlight w:val="none"/>
            </w:rPr>
            <w:fldChar w:fldCharType="begin"/>
          </w:r>
          <w:r>
            <w:rPr>
              <w:highlight w:val="none"/>
            </w:rPr>
            <w:instrText xml:space="preserve"> HYPERLINK \l _Toc29845 </w:instrText>
          </w:r>
          <w:r>
            <w:rPr>
              <w:highlight w:val="none"/>
            </w:rPr>
            <w:fldChar w:fldCharType="separate"/>
          </w:r>
          <w:r>
            <w:rPr>
              <w:rFonts w:hint="eastAsia"/>
              <w:lang w:val="en-US" w:eastAsia="zh-CN"/>
            </w:rPr>
            <w:t>六</w:t>
          </w:r>
          <w:r>
            <w:rPr>
              <w:rFonts w:hint="eastAsia"/>
            </w:rPr>
            <w:t>、其他需要说明的问题</w:t>
          </w:r>
          <w:r>
            <w:tab/>
          </w:r>
          <w:r>
            <w:fldChar w:fldCharType="begin"/>
          </w:r>
          <w:r>
            <w:instrText xml:space="preserve"> PAGEREF _Toc29845 \h </w:instrText>
          </w:r>
          <w:r>
            <w:fldChar w:fldCharType="separate"/>
          </w:r>
          <w:r>
            <w:t>24</w:t>
          </w:r>
          <w:r>
            <w:fldChar w:fldCharType="end"/>
          </w:r>
          <w:r>
            <w:rPr>
              <w:highlight w:val="none"/>
            </w:rPr>
            <w:fldChar w:fldCharType="end"/>
          </w:r>
        </w:p>
        <w:p w14:paraId="115CD4A6">
          <w:pPr>
            <w:ind w:firstLine="0" w:firstLineChars="0"/>
            <w:rPr>
              <w:highlight w:val="none"/>
            </w:rPr>
          </w:pPr>
          <w:r>
            <w:rPr>
              <w:highlight w:val="none"/>
            </w:rPr>
            <w:fldChar w:fldCharType="end"/>
          </w:r>
        </w:p>
      </w:sdtContent>
    </w:sdt>
    <w:p w14:paraId="16CC470E">
      <w:pPr>
        <w:widowControl/>
        <w:ind w:firstLine="0" w:firstLineChars="0"/>
        <w:jc w:val="left"/>
        <w:rPr>
          <w:rFonts w:hAnsi="宋体"/>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81" w:charSpace="0"/>
        </w:sectPr>
      </w:pPr>
      <w:r>
        <w:rPr>
          <w:rFonts w:ascii="宋体" w:hAnsi="宋体" w:eastAsia="宋体"/>
          <w:b/>
          <w:bCs/>
          <w:sz w:val="32"/>
          <w:szCs w:val="32"/>
          <w:highlight w:val="none"/>
        </w:rPr>
        <w:br w:type="page"/>
      </w:r>
      <w:bookmarkStart w:id="0" w:name="_Toc40046020"/>
    </w:p>
    <w:p w14:paraId="37E4F9C7">
      <w:pPr>
        <w:pStyle w:val="4"/>
        <w:spacing w:before="0" w:after="0"/>
        <w:rPr>
          <w:highlight w:val="none"/>
        </w:rPr>
      </w:pPr>
      <w:bookmarkStart w:id="1" w:name="_Toc18558"/>
      <w:r>
        <w:rPr>
          <w:rFonts w:hint="eastAsia"/>
          <w:highlight w:val="none"/>
        </w:rPr>
        <w:t>一、基本情况</w:t>
      </w:r>
      <w:bookmarkEnd w:id="0"/>
      <w:bookmarkEnd w:id="1"/>
    </w:p>
    <w:p w14:paraId="20DB9CCF">
      <w:pPr>
        <w:pStyle w:val="5"/>
        <w:spacing w:before="0" w:after="0"/>
        <w:ind w:firstLine="643"/>
        <w:rPr>
          <w:highlight w:val="none"/>
        </w:rPr>
      </w:pPr>
      <w:bookmarkStart w:id="2" w:name="_Toc40046021"/>
      <w:bookmarkStart w:id="3" w:name="_Toc19178"/>
      <w:r>
        <w:rPr>
          <w:rFonts w:hint="eastAsia"/>
          <w:highlight w:val="none"/>
        </w:rPr>
        <w:t>（一）部门主要职能</w:t>
      </w:r>
      <w:bookmarkEnd w:id="2"/>
      <w:bookmarkEnd w:id="3"/>
    </w:p>
    <w:p w14:paraId="498ED538">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bookmarkStart w:id="4" w:name="_Toc40046022"/>
      <w:r>
        <w:rPr>
          <w:rFonts w:hint="eastAsia" w:ascii="仿宋_GB2312" w:eastAsia="仿宋_GB2312" w:cstheme="minorBidi"/>
          <w:kern w:val="2"/>
          <w:sz w:val="28"/>
          <w:szCs w:val="28"/>
          <w:highlight w:val="none"/>
          <w:lang w:val="en-US" w:eastAsia="zh-CN" w:bidi="ar-SA"/>
        </w:rPr>
        <w:t>1、</w:t>
      </w:r>
      <w:r>
        <w:rPr>
          <w:rFonts w:hint="eastAsia" w:ascii="仿宋_GB2312" w:hAnsi="宋体" w:eastAsia="仿宋_GB2312" w:cstheme="minorBidi"/>
          <w:kern w:val="2"/>
          <w:sz w:val="28"/>
          <w:szCs w:val="28"/>
          <w:highlight w:val="none"/>
          <w:lang w:val="en-US" w:eastAsia="zh-CN" w:bidi="ar-SA"/>
        </w:rPr>
        <w:t>对中共渭源县委和渭源县人民代表大会及其常务委员会及定西市人民检察院负责并报告工作，接受县委和定西市人民检察院的领导，接受县人民代表大会及其常务委员会的监督;</w:t>
      </w:r>
    </w:p>
    <w:p w14:paraId="41A836F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2、</w:t>
      </w:r>
      <w:r>
        <w:rPr>
          <w:rFonts w:hint="eastAsia" w:ascii="仿宋_GB2312" w:hAnsi="宋体" w:eastAsia="仿宋_GB2312" w:cstheme="minorBidi"/>
          <w:kern w:val="2"/>
          <w:sz w:val="28"/>
          <w:szCs w:val="28"/>
          <w:highlight w:val="none"/>
          <w:lang w:val="en-US" w:eastAsia="zh-CN" w:bidi="ar-SA"/>
        </w:rPr>
        <w:t>对刑事案件依法审查，决定批准逮捕和不批准逮捕，审查起诉和不起诉；同时进行立案监督、侦查监督、审判监督和执行监督；积极参与依法治理和社会治安综合治理；</w:t>
      </w:r>
    </w:p>
    <w:p w14:paraId="1058DBD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3、</w:t>
      </w:r>
      <w:r>
        <w:rPr>
          <w:rFonts w:hint="eastAsia" w:ascii="仿宋_GB2312" w:hAnsi="宋体" w:eastAsia="仿宋_GB2312" w:cstheme="minorBidi"/>
          <w:kern w:val="2"/>
          <w:sz w:val="28"/>
          <w:szCs w:val="28"/>
          <w:highlight w:val="none"/>
          <w:lang w:val="en-US" w:eastAsia="zh-CN" w:bidi="ar-SA"/>
        </w:rPr>
        <w:t>对民事、行政诉讼和经济审判进行法律监督，受理公民举报、控告和申诉；</w:t>
      </w:r>
    </w:p>
    <w:p w14:paraId="0D89FAF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4、</w:t>
      </w:r>
      <w:r>
        <w:rPr>
          <w:rFonts w:hint="eastAsia" w:ascii="仿宋_GB2312" w:hAnsi="宋体" w:eastAsia="仿宋_GB2312" w:cstheme="minorBidi"/>
          <w:kern w:val="2"/>
          <w:sz w:val="28"/>
          <w:szCs w:val="28"/>
          <w:highlight w:val="none"/>
          <w:lang w:val="en-US" w:eastAsia="zh-CN" w:bidi="ar-SA"/>
        </w:rPr>
        <w:t>对人民</w:t>
      </w:r>
      <w:r>
        <w:rPr>
          <w:rFonts w:hint="eastAsia" w:ascii="仿宋_GB2312" w:eastAsia="仿宋_GB2312" w:cstheme="minorBidi"/>
          <w:kern w:val="2"/>
          <w:sz w:val="28"/>
          <w:szCs w:val="28"/>
          <w:highlight w:val="none"/>
          <w:lang w:val="en-US" w:eastAsia="zh-CN" w:bidi="ar-SA"/>
        </w:rPr>
        <w:t>法院</w:t>
      </w:r>
      <w:r>
        <w:rPr>
          <w:rFonts w:hint="eastAsia" w:ascii="仿宋_GB2312" w:hAnsi="宋体" w:eastAsia="仿宋_GB2312" w:cstheme="minorBidi"/>
          <w:kern w:val="2"/>
          <w:sz w:val="28"/>
          <w:szCs w:val="28"/>
          <w:highlight w:val="none"/>
          <w:lang w:val="en-US" w:eastAsia="zh-CN" w:bidi="ar-SA"/>
        </w:rPr>
        <w:t>已发生法律效力，确有错误的判决和裁定，依法提出抗诉；</w:t>
      </w:r>
    </w:p>
    <w:p w14:paraId="383F217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5、</w:t>
      </w:r>
      <w:r>
        <w:rPr>
          <w:rFonts w:hint="eastAsia" w:ascii="仿宋_GB2312" w:hAnsi="宋体" w:eastAsia="仿宋_GB2312" w:cstheme="minorBidi"/>
          <w:kern w:val="2"/>
          <w:sz w:val="28"/>
          <w:szCs w:val="28"/>
          <w:highlight w:val="none"/>
          <w:lang w:val="en-US" w:eastAsia="zh-CN" w:bidi="ar-SA"/>
        </w:rPr>
        <w:t>完善检察制度，加强队伍建设，依法管理队伍；</w:t>
      </w:r>
    </w:p>
    <w:p w14:paraId="2CD84B3A">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6、</w:t>
      </w:r>
      <w:r>
        <w:rPr>
          <w:rFonts w:hint="eastAsia" w:ascii="仿宋_GB2312" w:hAnsi="宋体" w:eastAsia="仿宋_GB2312" w:cstheme="minorBidi"/>
          <w:kern w:val="2"/>
          <w:sz w:val="28"/>
          <w:szCs w:val="28"/>
          <w:highlight w:val="none"/>
          <w:lang w:val="en-US" w:eastAsia="zh-CN" w:bidi="ar-SA"/>
        </w:rPr>
        <w:t>开展法律政策研究和与检察业务相关的其他调查研究工作，提出司法建议；</w:t>
      </w:r>
    </w:p>
    <w:p w14:paraId="694949E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7、</w:t>
      </w:r>
      <w:r>
        <w:rPr>
          <w:rFonts w:hint="eastAsia" w:ascii="仿宋_GB2312" w:hAnsi="宋体" w:eastAsia="仿宋_GB2312" w:cstheme="minorBidi"/>
          <w:kern w:val="2"/>
          <w:sz w:val="28"/>
          <w:szCs w:val="28"/>
          <w:highlight w:val="none"/>
          <w:lang w:val="en-US" w:eastAsia="zh-CN" w:bidi="ar-SA"/>
        </w:rPr>
        <w:t>对看守所管理活动是否合法、实行监督；</w:t>
      </w:r>
    </w:p>
    <w:p w14:paraId="3A7C219B">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eastAsia="仿宋_GB2312" w:cstheme="minorBidi"/>
          <w:kern w:val="2"/>
          <w:sz w:val="28"/>
          <w:szCs w:val="28"/>
          <w:highlight w:val="none"/>
          <w:lang w:val="en-US" w:eastAsia="zh-CN" w:bidi="ar-SA"/>
        </w:rPr>
        <w:t>8、</w:t>
      </w:r>
      <w:r>
        <w:rPr>
          <w:rFonts w:hint="eastAsia" w:ascii="仿宋_GB2312" w:hAnsi="宋体" w:eastAsia="仿宋_GB2312" w:cstheme="minorBidi"/>
          <w:kern w:val="2"/>
          <w:sz w:val="28"/>
          <w:szCs w:val="28"/>
          <w:highlight w:val="none"/>
          <w:lang w:val="en-US" w:eastAsia="zh-CN" w:bidi="ar-SA"/>
        </w:rPr>
        <w:t>负责完成其他应由县人民检察院承办的事项</w:t>
      </w:r>
    </w:p>
    <w:p w14:paraId="24462517">
      <w:pPr>
        <w:pStyle w:val="5"/>
        <w:spacing w:before="0" w:after="0"/>
        <w:ind w:firstLine="643"/>
        <w:rPr>
          <w:rFonts w:hint="eastAsia"/>
          <w:highlight w:val="none"/>
        </w:rPr>
      </w:pPr>
      <w:bookmarkStart w:id="5" w:name="_Toc14748"/>
      <w:r>
        <w:rPr>
          <w:rFonts w:hint="eastAsia"/>
          <w:highlight w:val="none"/>
        </w:rPr>
        <w:t>（二）内设机构及所属单位概况</w:t>
      </w:r>
      <w:bookmarkEnd w:id="4"/>
      <w:bookmarkEnd w:id="5"/>
      <w:bookmarkStart w:id="6" w:name="_Toc2023"/>
      <w:bookmarkStart w:id="7" w:name="_Toc40046023"/>
    </w:p>
    <w:p w14:paraId="1E3543D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仿宋_GB2312" w:hAnsi="宋体" w:eastAsia="仿宋_GB2312" w:cstheme="minorBidi"/>
          <w:kern w:val="2"/>
          <w:sz w:val="28"/>
          <w:szCs w:val="28"/>
          <w:highlight w:val="none"/>
          <w:lang w:val="en-US" w:eastAsia="zh-CN" w:bidi="ar-SA"/>
        </w:rPr>
      </w:pPr>
      <w:r>
        <w:rPr>
          <w:rFonts w:hint="eastAsia" w:ascii="仿宋_GB2312" w:hAnsi="宋体" w:eastAsia="仿宋_GB2312" w:cstheme="minorBidi"/>
          <w:kern w:val="2"/>
          <w:sz w:val="28"/>
          <w:szCs w:val="28"/>
          <w:highlight w:val="none"/>
          <w:lang w:val="en-US" w:eastAsia="zh-CN" w:bidi="ar-SA"/>
        </w:rPr>
        <w:t>渭源县人民</w:t>
      </w:r>
      <w:r>
        <w:rPr>
          <w:rFonts w:hint="eastAsia" w:ascii="仿宋_GB2312" w:eastAsia="仿宋_GB2312" w:cstheme="minorBidi"/>
          <w:kern w:val="2"/>
          <w:sz w:val="28"/>
          <w:szCs w:val="28"/>
          <w:highlight w:val="none"/>
          <w:lang w:val="en-US" w:eastAsia="zh-CN" w:bidi="ar-SA"/>
        </w:rPr>
        <w:t>检察院</w:t>
      </w:r>
      <w:r>
        <w:rPr>
          <w:rFonts w:hint="eastAsia" w:ascii="仿宋_GB2312" w:hAnsi="宋体" w:eastAsia="仿宋_GB2312" w:cstheme="minorBidi"/>
          <w:kern w:val="2"/>
          <w:sz w:val="28"/>
          <w:szCs w:val="28"/>
          <w:highlight w:val="none"/>
          <w:lang w:val="en-US" w:eastAsia="zh-CN" w:bidi="ar-SA"/>
        </w:rPr>
        <w:t>内设第一检察部、第二检察部、第三检察部、办公室、政治部5个部门。</w:t>
      </w:r>
    </w:p>
    <w:bookmarkEnd w:id="6"/>
    <w:p w14:paraId="791C8F5D">
      <w:pPr>
        <w:pStyle w:val="4"/>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highlight w:val="none"/>
        </w:rPr>
      </w:pPr>
      <w:bookmarkStart w:id="8" w:name="_Toc21465"/>
      <w:r>
        <w:rPr>
          <w:rFonts w:hint="eastAsia"/>
          <w:highlight w:val="none"/>
        </w:rPr>
        <w:t>二、绩效自评工作组织开展情况</w:t>
      </w:r>
      <w:bookmarkEnd w:id="7"/>
      <w:bookmarkEnd w:id="8"/>
    </w:p>
    <w:p w14:paraId="0B71C828">
      <w:pPr>
        <w:pStyle w:val="5"/>
        <w:keepNext w:val="0"/>
        <w:keepLines w:val="0"/>
        <w:pageBreakBefore w:val="0"/>
        <w:widowControl w:val="0"/>
        <w:kinsoku/>
        <w:wordWrap/>
        <w:overflowPunct/>
        <w:topLinePunct w:val="0"/>
        <w:autoSpaceDE/>
        <w:autoSpaceDN/>
        <w:bidi w:val="0"/>
        <w:adjustRightInd/>
        <w:snapToGrid/>
        <w:spacing w:before="0" w:after="0"/>
        <w:ind w:firstLine="643"/>
        <w:textAlignment w:val="auto"/>
        <w:rPr>
          <w:highlight w:val="none"/>
        </w:rPr>
      </w:pPr>
      <w:bookmarkStart w:id="9" w:name="_Toc40046024"/>
      <w:bookmarkStart w:id="10" w:name="_Toc14743"/>
      <w:r>
        <w:rPr>
          <w:rFonts w:hint="eastAsia"/>
          <w:highlight w:val="none"/>
        </w:rPr>
        <w:t>（一）自评对象和范围</w:t>
      </w:r>
      <w:bookmarkEnd w:id="9"/>
      <w:bookmarkEnd w:id="10"/>
    </w:p>
    <w:p w14:paraId="6AF76EA5">
      <w:pPr>
        <w:keepNext w:val="0"/>
        <w:keepLines w:val="0"/>
        <w:pageBreakBefore w:val="0"/>
        <w:widowControl w:val="0"/>
        <w:kinsoku/>
        <w:wordWrap/>
        <w:overflowPunct/>
        <w:topLinePunct w:val="0"/>
        <w:autoSpaceDE/>
        <w:autoSpaceDN/>
        <w:bidi w:val="0"/>
        <w:adjustRightInd/>
        <w:snapToGrid/>
        <w:ind w:firstLine="560"/>
        <w:textAlignment w:val="auto"/>
        <w:rPr>
          <w:rFonts w:hAnsi="宋体"/>
          <w:szCs w:val="28"/>
          <w:highlight w:val="none"/>
        </w:rPr>
      </w:pPr>
      <w:bookmarkStart w:id="11" w:name="_Toc40046025"/>
      <w:r>
        <w:rPr>
          <w:rFonts w:hint="eastAsia" w:hAnsi="宋体"/>
          <w:szCs w:val="28"/>
          <w:highlight w:val="none"/>
        </w:rPr>
        <w:t>本次预算绩效自评，按照省级部门项目支出、省对市县转移支付、部门整体支出三类</w:t>
      </w:r>
      <w:r>
        <w:rPr>
          <w:rFonts w:hint="eastAsia" w:hAnsi="宋体"/>
          <w:szCs w:val="28"/>
          <w:highlight w:val="none"/>
          <w:lang w:val="en-US" w:eastAsia="zh-CN"/>
        </w:rPr>
        <w:t>自评</w:t>
      </w:r>
      <w:r>
        <w:rPr>
          <w:rFonts w:hint="eastAsia" w:hAnsi="宋体"/>
          <w:szCs w:val="28"/>
          <w:highlight w:val="none"/>
        </w:rPr>
        <w:t>对象全覆盖的原则，结合我院</w:t>
      </w:r>
      <w:r>
        <w:rPr>
          <w:rFonts w:hint="eastAsia" w:hAnsi="宋体"/>
          <w:szCs w:val="28"/>
          <w:highlight w:val="none"/>
          <w:lang w:eastAsia="zh-CN"/>
        </w:rPr>
        <w:t>2024年</w:t>
      </w:r>
      <w:r>
        <w:rPr>
          <w:rFonts w:hint="eastAsia" w:hAnsi="宋体"/>
          <w:szCs w:val="28"/>
          <w:highlight w:val="none"/>
        </w:rPr>
        <w:t>实际情况，自评所有对象为单位整体支出自评</w:t>
      </w:r>
      <w:r>
        <w:rPr>
          <w:rFonts w:hint="eastAsia" w:hAnsi="宋体"/>
          <w:szCs w:val="28"/>
          <w:highlight w:val="none"/>
          <w:lang w:val="en-US" w:eastAsia="zh-CN"/>
        </w:rPr>
        <w:t>和</w:t>
      </w:r>
      <w:r>
        <w:rPr>
          <w:rFonts w:hint="eastAsia" w:hAnsi="宋体"/>
          <w:szCs w:val="28"/>
          <w:highlight w:val="none"/>
        </w:rPr>
        <w:t>检察业务综合保障经费、中央政法转移支付资金两个项目自评。</w:t>
      </w:r>
    </w:p>
    <w:p w14:paraId="504EF7E4">
      <w:pPr>
        <w:pStyle w:val="5"/>
        <w:spacing w:before="0" w:after="0"/>
        <w:ind w:firstLine="643"/>
        <w:rPr>
          <w:highlight w:val="none"/>
        </w:rPr>
      </w:pPr>
      <w:bookmarkStart w:id="12" w:name="_Toc29865"/>
      <w:r>
        <w:rPr>
          <w:rFonts w:hint="eastAsia"/>
          <w:highlight w:val="none"/>
        </w:rPr>
        <w:t>（二）自评组织管理情况</w:t>
      </w:r>
      <w:bookmarkEnd w:id="11"/>
      <w:bookmarkEnd w:id="12"/>
    </w:p>
    <w:p w14:paraId="4BE61921">
      <w:pPr>
        <w:ind w:firstLine="560"/>
        <w:rPr>
          <w:highlight w:val="none"/>
        </w:rPr>
      </w:pPr>
      <w:r>
        <w:rPr>
          <w:rFonts w:hint="eastAsia"/>
          <w:highlight w:val="none"/>
        </w:rPr>
        <w:t>我单位严格按照</w:t>
      </w:r>
      <w:r>
        <w:rPr>
          <w:rFonts w:hint="eastAsia"/>
          <w:highlight w:val="none"/>
          <w:lang w:eastAsia="zh-CN"/>
        </w:rPr>
        <w:t>《</w:t>
      </w:r>
      <w:r>
        <w:rPr>
          <w:rFonts w:hint="eastAsia"/>
          <w:highlight w:val="none"/>
          <w:lang w:val="en-US" w:eastAsia="zh-CN"/>
        </w:rPr>
        <w:t>中共甘肃省委 甘肃省人民政府关于全面实施预算绩效管理的实施意见</w:t>
      </w:r>
      <w:r>
        <w:rPr>
          <w:rFonts w:hint="eastAsia"/>
          <w:highlight w:val="none"/>
          <w:lang w:eastAsia="zh-CN"/>
        </w:rPr>
        <w:t>》（</w:t>
      </w:r>
      <w:r>
        <w:rPr>
          <w:rFonts w:hint="eastAsia"/>
          <w:highlight w:val="none"/>
          <w:lang w:val="en-US" w:eastAsia="zh-CN"/>
        </w:rPr>
        <w:t>甘发</w:t>
      </w:r>
      <w:r>
        <w:rPr>
          <w:rFonts w:hint="eastAsia"/>
          <w:highlight w:val="none"/>
        </w:rPr>
        <w:t>〔</w:t>
      </w:r>
      <w:r>
        <w:rPr>
          <w:rFonts w:hint="eastAsia"/>
          <w:highlight w:val="none"/>
          <w:lang w:eastAsia="zh-CN"/>
        </w:rPr>
        <w:t>20</w:t>
      </w:r>
      <w:r>
        <w:rPr>
          <w:rFonts w:hint="eastAsia"/>
          <w:highlight w:val="none"/>
          <w:lang w:val="en-US" w:eastAsia="zh-CN"/>
        </w:rPr>
        <w:t>18</w:t>
      </w:r>
      <w:r>
        <w:rPr>
          <w:rFonts w:hint="eastAsia"/>
          <w:highlight w:val="none"/>
        </w:rPr>
        <w:t>〕</w:t>
      </w:r>
      <w:r>
        <w:rPr>
          <w:rFonts w:hint="eastAsia"/>
          <w:highlight w:val="none"/>
          <w:lang w:val="en-US" w:eastAsia="zh-CN"/>
        </w:rPr>
        <w:t>32号</w:t>
      </w:r>
      <w:r>
        <w:rPr>
          <w:rFonts w:hint="eastAsia"/>
          <w:highlight w:val="none"/>
          <w:lang w:eastAsia="zh-CN"/>
        </w:rPr>
        <w:t>），《</w:t>
      </w:r>
      <w:r>
        <w:rPr>
          <w:rFonts w:hint="eastAsia"/>
          <w:highlight w:val="none"/>
          <w:lang w:val="en-US" w:eastAsia="zh-CN"/>
        </w:rPr>
        <w:t>甘肃省省级预算绩效管理办法</w:t>
      </w:r>
      <w:r>
        <w:rPr>
          <w:rFonts w:hint="eastAsia"/>
          <w:highlight w:val="none"/>
          <w:lang w:eastAsia="zh-CN"/>
        </w:rPr>
        <w:t>》《</w:t>
      </w:r>
      <w:r>
        <w:rPr>
          <w:rFonts w:hint="eastAsia"/>
          <w:highlight w:val="none"/>
          <w:lang w:val="en-US" w:eastAsia="zh-CN"/>
        </w:rPr>
        <w:t>甘肃省省级项目支出绩效单位自评工作规程</w:t>
      </w:r>
      <w:r>
        <w:rPr>
          <w:rFonts w:hint="eastAsia"/>
          <w:highlight w:val="none"/>
          <w:lang w:eastAsia="zh-CN"/>
        </w:rPr>
        <w:t>》（</w:t>
      </w:r>
      <w:r>
        <w:rPr>
          <w:rFonts w:hint="eastAsia"/>
          <w:highlight w:val="none"/>
        </w:rPr>
        <w:t>甘财绩〔</w:t>
      </w:r>
      <w:r>
        <w:rPr>
          <w:rFonts w:hint="eastAsia"/>
          <w:highlight w:val="none"/>
          <w:lang w:eastAsia="zh-CN"/>
        </w:rPr>
        <w:t>202</w:t>
      </w:r>
      <w:r>
        <w:rPr>
          <w:rFonts w:hint="eastAsia"/>
          <w:highlight w:val="none"/>
          <w:lang w:val="en-US" w:eastAsia="zh-CN"/>
        </w:rPr>
        <w:t>0</w:t>
      </w:r>
      <w:r>
        <w:rPr>
          <w:rFonts w:hint="eastAsia"/>
          <w:highlight w:val="none"/>
        </w:rPr>
        <w:t>〕</w:t>
      </w:r>
      <w:r>
        <w:rPr>
          <w:rFonts w:hint="eastAsia"/>
          <w:highlight w:val="none"/>
          <w:lang w:val="en-US" w:eastAsia="zh-CN"/>
        </w:rPr>
        <w:t>5号）</w:t>
      </w:r>
      <w:r>
        <w:rPr>
          <w:rFonts w:hint="eastAsia"/>
          <w:highlight w:val="none"/>
        </w:rPr>
        <w:t>的</w:t>
      </w:r>
      <w:r>
        <w:rPr>
          <w:rFonts w:hint="eastAsia"/>
          <w:highlight w:val="none"/>
          <w:lang w:val="en-US" w:eastAsia="zh-CN"/>
        </w:rPr>
        <w:t>文件</w:t>
      </w:r>
      <w:r>
        <w:rPr>
          <w:rFonts w:hint="eastAsia"/>
          <w:highlight w:val="none"/>
        </w:rPr>
        <w:t>要求积极开展</w:t>
      </w:r>
      <w:r>
        <w:rPr>
          <w:rFonts w:hint="eastAsia"/>
          <w:highlight w:val="none"/>
          <w:lang w:eastAsia="zh-CN"/>
        </w:rPr>
        <w:t>2024年度</w:t>
      </w:r>
      <w:r>
        <w:rPr>
          <w:rFonts w:hint="eastAsia"/>
          <w:highlight w:val="none"/>
        </w:rPr>
        <w:t>自评工作，由财务部门进行牵头，各个相关处室协调配合，按照以下流程进行：</w:t>
      </w:r>
    </w:p>
    <w:p w14:paraId="4BE9541B">
      <w:pPr>
        <w:pStyle w:val="6"/>
        <w:ind w:firstLine="562"/>
        <w:rPr>
          <w:highlight w:val="none"/>
        </w:rPr>
      </w:pPr>
      <w:r>
        <w:rPr>
          <w:rFonts w:hint="eastAsia"/>
          <w:highlight w:val="none"/>
        </w:rPr>
        <w:t>1.自评安排</w:t>
      </w:r>
    </w:p>
    <w:p w14:paraId="44EAF9E6">
      <w:pPr>
        <w:ind w:firstLine="560"/>
        <w:rPr>
          <w:highlight w:val="none"/>
        </w:rPr>
      </w:pPr>
      <w:r>
        <w:rPr>
          <w:rFonts w:hint="eastAsia" w:hAnsi="宋体"/>
          <w:szCs w:val="28"/>
          <w:highlight w:val="none"/>
          <w:lang w:val="en-US" w:eastAsia="zh-CN"/>
        </w:rPr>
        <w:t>根据我院对2024年度整体预算执行的安排部署和绩效自评实施过程的要求，为高效地完成此次绩效自评工作，将绩效自评工作落到实处，通过科学合理的方法，客观公正地评价财政资金使用的绩效性、效率性和效益型。我院严格按照</w:t>
      </w:r>
      <w:r>
        <w:rPr>
          <w:rFonts w:hint="default" w:hAnsi="宋体"/>
          <w:szCs w:val="28"/>
          <w:highlight w:val="none"/>
          <w:lang w:val="en-US" w:eastAsia="zh-CN"/>
        </w:rPr>
        <w:t>（甘发〔2018〕32号），强化各单位的预算绩效管理主体责任，提升自评工作完整性、准确性、规范性，提高财政资金使用效益，根据（甘财绩〔2020〕5号）等有关规定</w:t>
      </w:r>
      <w:r>
        <w:rPr>
          <w:rFonts w:hint="eastAsia" w:hAnsi="宋体"/>
          <w:szCs w:val="28"/>
          <w:highlight w:val="none"/>
          <w:lang w:val="en-US" w:eastAsia="zh-CN"/>
        </w:rPr>
        <w:t>等文件的要求，联合各相关业务科室共同完成此次自评工作</w:t>
      </w:r>
      <w:r>
        <w:rPr>
          <w:rFonts w:hint="eastAsia"/>
          <w:highlight w:val="none"/>
        </w:rPr>
        <w:t>。</w:t>
      </w:r>
    </w:p>
    <w:p w14:paraId="6F73963A">
      <w:pPr>
        <w:pStyle w:val="6"/>
        <w:ind w:firstLine="562"/>
        <w:rPr>
          <w:highlight w:val="none"/>
        </w:rPr>
      </w:pPr>
      <w:r>
        <w:rPr>
          <w:rFonts w:hint="eastAsia"/>
          <w:highlight w:val="none"/>
        </w:rPr>
        <w:t>2.自评分析</w:t>
      </w:r>
    </w:p>
    <w:p w14:paraId="622C6304">
      <w:pPr>
        <w:ind w:firstLine="560"/>
        <w:rPr>
          <w:highlight w:val="none"/>
        </w:rPr>
      </w:pPr>
      <w:r>
        <w:rPr>
          <w:rFonts w:hint="eastAsia"/>
          <w:highlight w:val="none"/>
        </w:rPr>
        <w:t>在部门决算数据基础上分析预算执行情况，通过各业务处室收集整理绩效</w:t>
      </w:r>
      <w:r>
        <w:rPr>
          <w:rFonts w:hint="eastAsia"/>
          <w:highlight w:val="none"/>
          <w:lang w:val="en-US" w:eastAsia="zh-CN"/>
        </w:rPr>
        <w:t>自评</w:t>
      </w:r>
      <w:r>
        <w:rPr>
          <w:rFonts w:hint="eastAsia"/>
          <w:highlight w:val="none"/>
        </w:rPr>
        <w:t>所需数据材料，以我院</w:t>
      </w:r>
      <w:r>
        <w:rPr>
          <w:rFonts w:hint="eastAsia"/>
          <w:highlight w:val="none"/>
          <w:lang w:eastAsia="zh-CN"/>
        </w:rPr>
        <w:t>2024年</w:t>
      </w:r>
      <w:r>
        <w:rPr>
          <w:highlight w:val="none"/>
        </w:rPr>
        <w:t>申报的绩效目标及前期查阅收集的资料为基础，根据部门职责，以预算执行、部门履职目标及效果为重点</w:t>
      </w:r>
      <w:r>
        <w:rPr>
          <w:rFonts w:hint="eastAsia"/>
          <w:highlight w:val="none"/>
        </w:rPr>
        <w:t>，严格遵循科学公正、统筹兼顾、激励约束、公开透明的</w:t>
      </w:r>
      <w:r>
        <w:rPr>
          <w:rFonts w:hint="eastAsia"/>
          <w:highlight w:val="none"/>
          <w:lang w:val="en-US" w:eastAsia="zh-CN"/>
        </w:rPr>
        <w:t>自评</w:t>
      </w:r>
      <w:r>
        <w:rPr>
          <w:rFonts w:hint="eastAsia"/>
          <w:highlight w:val="none"/>
        </w:rPr>
        <w:t>原则，通过对计划标准、行业标准、历史标准的综合比较分析，最终得到绩效</w:t>
      </w:r>
      <w:r>
        <w:rPr>
          <w:rFonts w:hint="eastAsia"/>
          <w:highlight w:val="none"/>
          <w:lang w:val="en-US" w:eastAsia="zh-CN"/>
        </w:rPr>
        <w:t>自评</w:t>
      </w:r>
      <w:r>
        <w:rPr>
          <w:rFonts w:hint="eastAsia"/>
          <w:highlight w:val="none"/>
        </w:rPr>
        <w:t>的可支撑数据。</w:t>
      </w:r>
    </w:p>
    <w:p w14:paraId="0AA01AD0">
      <w:pPr>
        <w:pStyle w:val="6"/>
        <w:ind w:firstLine="562"/>
        <w:rPr>
          <w:highlight w:val="none"/>
        </w:rPr>
      </w:pPr>
      <w:r>
        <w:rPr>
          <w:rFonts w:hint="eastAsia"/>
          <w:highlight w:val="none"/>
        </w:rPr>
        <w:t>3.自评填报</w:t>
      </w:r>
    </w:p>
    <w:p w14:paraId="4186B32C">
      <w:pPr>
        <w:ind w:firstLine="560"/>
        <w:rPr>
          <w:rFonts w:hAnsi="宋体"/>
          <w:szCs w:val="28"/>
          <w:highlight w:val="none"/>
        </w:rPr>
      </w:pPr>
      <w:r>
        <w:rPr>
          <w:rFonts w:hint="eastAsia"/>
          <w:highlight w:val="none"/>
        </w:rPr>
        <w:t>根据自评分析可靠数据</w:t>
      </w:r>
      <w:r>
        <w:rPr>
          <w:highlight w:val="none"/>
        </w:rPr>
        <w:t>填写《</w:t>
      </w:r>
      <w:r>
        <w:rPr>
          <w:rFonts w:hint="eastAsia"/>
          <w:highlight w:val="none"/>
          <w:lang w:eastAsia="zh-CN"/>
        </w:rPr>
        <w:t>2024年</w:t>
      </w:r>
      <w:r>
        <w:rPr>
          <w:highlight w:val="none"/>
        </w:rPr>
        <w:t>甘肃省</w:t>
      </w:r>
      <w:r>
        <w:rPr>
          <w:rFonts w:hint="eastAsia"/>
          <w:highlight w:val="none"/>
          <w:lang w:eastAsia="zh-CN"/>
        </w:rPr>
        <w:t>渭源县人民检察院</w:t>
      </w:r>
      <w:r>
        <w:rPr>
          <w:highlight w:val="none"/>
        </w:rPr>
        <w:t>部门整体支出绩效自评表》，并根据其工作实际内容及预算执行情况赋予相应分值，做到自评表内容完整、分值合理、数据真实、结果客观，并完成《</w:t>
      </w:r>
      <w:r>
        <w:rPr>
          <w:rFonts w:hint="eastAsia"/>
          <w:highlight w:val="none"/>
          <w:lang w:eastAsia="zh-CN"/>
        </w:rPr>
        <w:t>2024年度</w:t>
      </w:r>
      <w:r>
        <w:rPr>
          <w:highlight w:val="none"/>
        </w:rPr>
        <w:t>甘肃省</w:t>
      </w:r>
      <w:r>
        <w:rPr>
          <w:rFonts w:hint="eastAsia"/>
          <w:highlight w:val="none"/>
          <w:lang w:eastAsia="zh-CN"/>
        </w:rPr>
        <w:t>渭源县人民检察院</w:t>
      </w:r>
      <w:r>
        <w:rPr>
          <w:highlight w:val="none"/>
        </w:rPr>
        <w:t>部门预算执行情况自评报告》。</w:t>
      </w:r>
    </w:p>
    <w:p w14:paraId="15F4A7DB">
      <w:pPr>
        <w:pStyle w:val="6"/>
        <w:ind w:firstLine="562"/>
        <w:rPr>
          <w:highlight w:val="none"/>
        </w:rPr>
      </w:pPr>
      <w:r>
        <w:rPr>
          <w:rFonts w:hint="eastAsia"/>
          <w:highlight w:val="none"/>
        </w:rPr>
        <w:t>4.自评审核及报送</w:t>
      </w:r>
    </w:p>
    <w:p w14:paraId="06F0006F">
      <w:pPr>
        <w:ind w:firstLine="560"/>
        <w:rPr>
          <w:rFonts w:hAnsi="宋体"/>
          <w:szCs w:val="28"/>
          <w:highlight w:val="none"/>
        </w:rPr>
      </w:pPr>
      <w:r>
        <w:rPr>
          <w:rFonts w:hint="eastAsia" w:hAnsi="宋体"/>
          <w:szCs w:val="28"/>
          <w:highlight w:val="none"/>
        </w:rPr>
        <w:t>自评表和自评报告完成之后，由自评小组进行内部审核，对自评表的真实性、完整性、合理性和客观性进行初步审核，并对发现的问题及时反馈和修改，修改完善后报送甘肃省人民</w:t>
      </w:r>
      <w:r>
        <w:rPr>
          <w:rFonts w:hint="eastAsia" w:hAnsi="宋体"/>
          <w:szCs w:val="28"/>
          <w:highlight w:val="none"/>
          <w:lang w:val="en-US" w:eastAsia="zh-CN"/>
        </w:rPr>
        <w:t>检察院</w:t>
      </w:r>
      <w:r>
        <w:rPr>
          <w:rFonts w:hint="eastAsia"/>
          <w:highlight w:val="none"/>
        </w:rPr>
        <w:t>审核备案。</w:t>
      </w:r>
    </w:p>
    <w:p w14:paraId="5A0BA7C9">
      <w:pPr>
        <w:pStyle w:val="4"/>
        <w:spacing w:before="0" w:after="0"/>
        <w:ind w:firstLine="643" w:firstLineChars="200"/>
        <w:rPr>
          <w:highlight w:val="none"/>
        </w:rPr>
      </w:pPr>
      <w:bookmarkStart w:id="13" w:name="_Toc40046026"/>
      <w:bookmarkStart w:id="14" w:name="_Toc8577"/>
      <w:r>
        <w:rPr>
          <w:rFonts w:hint="eastAsia"/>
          <w:highlight w:val="none"/>
        </w:rPr>
        <w:t>三、部门整体支出绩效自评情况分析</w:t>
      </w:r>
      <w:bookmarkEnd w:id="13"/>
      <w:bookmarkEnd w:id="14"/>
      <w:r>
        <w:rPr>
          <w:rFonts w:hint="eastAsia"/>
          <w:highlight w:val="none"/>
        </w:rPr>
        <w:tab/>
      </w:r>
    </w:p>
    <w:p w14:paraId="69BBCF06">
      <w:pPr>
        <w:pStyle w:val="5"/>
        <w:spacing w:before="0" w:after="0"/>
        <w:ind w:firstLine="643"/>
        <w:rPr>
          <w:highlight w:val="none"/>
        </w:rPr>
      </w:pPr>
      <w:bookmarkStart w:id="15" w:name="_Toc40046027"/>
      <w:bookmarkStart w:id="16" w:name="_Toc22531"/>
      <w:r>
        <w:rPr>
          <w:rFonts w:hint="eastAsia"/>
          <w:highlight w:val="none"/>
        </w:rPr>
        <w:t>（一）部门决算情况</w:t>
      </w:r>
      <w:bookmarkEnd w:id="15"/>
      <w:bookmarkEnd w:id="16"/>
    </w:p>
    <w:p w14:paraId="4D0A7858">
      <w:pPr>
        <w:ind w:firstLine="560"/>
        <w:rPr>
          <w:rFonts w:hAnsi="宋体"/>
          <w:szCs w:val="28"/>
          <w:highlight w:val="none"/>
        </w:rPr>
      </w:pPr>
      <w:r>
        <w:rPr>
          <w:rFonts w:hint="eastAsia" w:hAnsi="宋体"/>
          <w:szCs w:val="28"/>
          <w:highlight w:val="none"/>
          <w:lang w:eastAsia="zh-CN"/>
        </w:rPr>
        <w:t>2024年度</w:t>
      </w:r>
      <w:r>
        <w:rPr>
          <w:highlight w:val="none"/>
        </w:rPr>
        <w:t>，</w:t>
      </w:r>
      <w:r>
        <w:rPr>
          <w:rFonts w:hint="eastAsia"/>
          <w:highlight w:val="none"/>
          <w:lang w:eastAsia="zh-CN"/>
        </w:rPr>
        <w:t>渭源县人民检察院</w:t>
      </w:r>
      <w:r>
        <w:rPr>
          <w:highlight w:val="none"/>
        </w:rPr>
        <w:t>年初预算数</w:t>
      </w:r>
      <w:r>
        <w:rPr>
          <w:rFonts w:hint="eastAsia"/>
          <w:highlight w:val="none"/>
        </w:rPr>
        <w:t>938</w:t>
      </w:r>
      <w:r>
        <w:rPr>
          <w:rFonts w:hint="eastAsia"/>
          <w:highlight w:val="none"/>
          <w:lang w:val="en-US" w:eastAsia="zh-CN"/>
        </w:rPr>
        <w:t>.54</w:t>
      </w:r>
      <w:r>
        <w:rPr>
          <w:highlight w:val="none"/>
        </w:rPr>
        <w:t>万元，经调整，全年预算资金总额为</w:t>
      </w:r>
      <w:r>
        <w:rPr>
          <w:rFonts w:hint="eastAsia"/>
          <w:highlight w:val="none"/>
        </w:rPr>
        <w:t>976</w:t>
      </w:r>
      <w:r>
        <w:rPr>
          <w:rFonts w:hint="eastAsia"/>
          <w:highlight w:val="none"/>
          <w:lang w:val="en-US" w:eastAsia="zh-CN"/>
        </w:rPr>
        <w:t>.46</w:t>
      </w:r>
      <w:r>
        <w:rPr>
          <w:highlight w:val="none"/>
        </w:rPr>
        <w:t>万元</w:t>
      </w:r>
      <w:r>
        <w:rPr>
          <w:rFonts w:hint="eastAsia"/>
          <w:highlight w:val="none"/>
        </w:rPr>
        <w:t>。</w:t>
      </w:r>
      <w:r>
        <w:rPr>
          <w:highlight w:val="none"/>
        </w:rPr>
        <w:t>根据年末单位支出决算，我单位于年内实际支出数</w:t>
      </w:r>
      <w:r>
        <w:rPr>
          <w:rFonts w:hint="eastAsia"/>
          <w:highlight w:val="none"/>
        </w:rPr>
        <w:t>973</w:t>
      </w:r>
      <w:r>
        <w:rPr>
          <w:rFonts w:hint="eastAsia"/>
          <w:highlight w:val="none"/>
          <w:lang w:val="en-US" w:eastAsia="zh-CN"/>
        </w:rPr>
        <w:t>.73</w:t>
      </w:r>
      <w:r>
        <w:rPr>
          <w:highlight w:val="none"/>
        </w:rPr>
        <w:t>万元，其中基本支出为</w:t>
      </w:r>
      <w:r>
        <w:rPr>
          <w:rFonts w:hint="eastAsia"/>
          <w:highlight w:val="none"/>
        </w:rPr>
        <w:t>703</w:t>
      </w:r>
      <w:r>
        <w:rPr>
          <w:rFonts w:hint="eastAsia"/>
          <w:highlight w:val="none"/>
          <w:lang w:val="en-US" w:eastAsia="zh-CN"/>
        </w:rPr>
        <w:t>.73</w:t>
      </w:r>
      <w:r>
        <w:rPr>
          <w:highlight w:val="none"/>
        </w:rPr>
        <w:t>万元，项目支出为</w:t>
      </w:r>
      <w:r>
        <w:rPr>
          <w:rFonts w:hint="eastAsia"/>
          <w:highlight w:val="none"/>
          <w:lang w:val="en-US" w:eastAsia="zh-CN"/>
        </w:rPr>
        <w:t>270</w:t>
      </w:r>
      <w:r>
        <w:rPr>
          <w:highlight w:val="none"/>
        </w:rPr>
        <w:t>万元</w:t>
      </w:r>
      <w:r>
        <w:rPr>
          <w:rFonts w:hint="eastAsia"/>
          <w:highlight w:val="none"/>
          <w:lang w:eastAsia="zh-CN"/>
        </w:rPr>
        <w:t>。</w:t>
      </w:r>
      <w:r>
        <w:rPr>
          <w:highlight w:val="none"/>
        </w:rPr>
        <w:t>单位支出预算执行率为</w:t>
      </w:r>
      <w:r>
        <w:rPr>
          <w:rFonts w:hint="eastAsia"/>
          <w:highlight w:val="none"/>
          <w:lang w:val="en-US" w:eastAsia="zh-CN"/>
        </w:rPr>
        <w:t>99.72</w:t>
      </w:r>
      <w:r>
        <w:rPr>
          <w:rFonts w:hint="eastAsia"/>
          <w:highlight w:val="none"/>
        </w:rPr>
        <w:t>%</w:t>
      </w:r>
      <w:r>
        <w:rPr>
          <w:highlight w:val="none"/>
        </w:rPr>
        <w:t>。</w:t>
      </w:r>
    </w:p>
    <w:p w14:paraId="77C250F2">
      <w:pPr>
        <w:pStyle w:val="5"/>
        <w:spacing w:before="0" w:after="0"/>
        <w:ind w:firstLine="643"/>
        <w:rPr>
          <w:highlight w:val="none"/>
        </w:rPr>
      </w:pPr>
      <w:bookmarkStart w:id="17" w:name="_Toc40046028"/>
      <w:bookmarkStart w:id="18" w:name="_Toc14282"/>
      <w:r>
        <w:rPr>
          <w:rFonts w:hint="eastAsia"/>
          <w:highlight w:val="none"/>
        </w:rPr>
        <w:t>（二）总体绩效目标完成情况分析</w:t>
      </w:r>
      <w:bookmarkEnd w:id="17"/>
      <w:bookmarkEnd w:id="18"/>
    </w:p>
    <w:p w14:paraId="3401730C">
      <w:pPr>
        <w:ind w:firstLine="560"/>
        <w:rPr>
          <w:rFonts w:hAnsi="宋体"/>
          <w:szCs w:val="28"/>
          <w:highlight w:val="none"/>
        </w:rPr>
      </w:pPr>
      <w:r>
        <w:rPr>
          <w:rFonts w:hint="eastAsia" w:hAnsi="宋体"/>
          <w:szCs w:val="28"/>
          <w:highlight w:val="none"/>
        </w:rPr>
        <w:t>经综合</w:t>
      </w:r>
      <w:r>
        <w:rPr>
          <w:rFonts w:hint="eastAsia" w:hAnsi="宋体"/>
          <w:szCs w:val="28"/>
          <w:highlight w:val="none"/>
          <w:lang w:val="en-US" w:eastAsia="zh-CN"/>
        </w:rPr>
        <w:t>自评</w:t>
      </w:r>
      <w:r>
        <w:rPr>
          <w:rFonts w:hint="eastAsia" w:hAnsi="宋体"/>
          <w:szCs w:val="28"/>
          <w:highlight w:val="none"/>
        </w:rPr>
        <w:t>与分析，</w:t>
      </w:r>
      <w:r>
        <w:rPr>
          <w:rFonts w:hint="eastAsia" w:hAnsi="宋体"/>
          <w:szCs w:val="28"/>
          <w:highlight w:val="none"/>
          <w:lang w:eastAsia="zh-CN"/>
        </w:rPr>
        <w:t>渭源县人民检察院2024年度</w:t>
      </w:r>
      <w:r>
        <w:rPr>
          <w:rFonts w:hint="eastAsia" w:hAnsi="宋体"/>
          <w:szCs w:val="28"/>
          <w:highlight w:val="none"/>
        </w:rPr>
        <w:t>部门整体支出绩效</w:t>
      </w:r>
      <w:r>
        <w:rPr>
          <w:rFonts w:hint="eastAsia" w:hAnsi="宋体"/>
          <w:szCs w:val="28"/>
          <w:highlight w:val="none"/>
          <w:lang w:val="en-US" w:eastAsia="zh-CN"/>
        </w:rPr>
        <w:t>自评</w:t>
      </w:r>
      <w:r>
        <w:rPr>
          <w:rFonts w:hint="eastAsia" w:hAnsi="宋体"/>
          <w:szCs w:val="28"/>
          <w:highlight w:val="none"/>
        </w:rPr>
        <w:t>最终得分为</w:t>
      </w:r>
      <w:r>
        <w:rPr>
          <w:rFonts w:hint="eastAsia" w:hAnsi="宋体"/>
          <w:szCs w:val="28"/>
          <w:highlight w:val="none"/>
          <w:lang w:val="en-US" w:eastAsia="zh-CN"/>
        </w:rPr>
        <w:t>96.41</w:t>
      </w:r>
      <w:r>
        <w:rPr>
          <w:rFonts w:hint="eastAsia" w:hAnsi="宋体"/>
          <w:szCs w:val="28"/>
          <w:highlight w:val="none"/>
        </w:rPr>
        <w:t>分，</w:t>
      </w:r>
      <w:r>
        <w:rPr>
          <w:rFonts w:hint="eastAsia" w:hAnsi="宋体"/>
          <w:szCs w:val="28"/>
          <w:highlight w:val="none"/>
          <w:lang w:val="en-US" w:eastAsia="zh-CN"/>
        </w:rPr>
        <w:t>自评</w:t>
      </w:r>
      <w:r>
        <w:rPr>
          <w:rFonts w:hint="eastAsia" w:hAnsi="宋体"/>
          <w:szCs w:val="28"/>
          <w:highlight w:val="none"/>
        </w:rPr>
        <w:t>结果为“优”。</w:t>
      </w:r>
    </w:p>
    <w:p w14:paraId="7BC2C5E1">
      <w:pPr>
        <w:ind w:firstLine="0" w:firstLineChars="0"/>
        <w:jc w:val="center"/>
        <w:rPr>
          <w:rFonts w:hAnsi="宋体" w:cstheme="minorEastAsia"/>
          <w:b/>
          <w:bCs/>
          <w:kern w:val="0"/>
          <w:szCs w:val="28"/>
          <w:highlight w:val="none"/>
        </w:rPr>
      </w:pPr>
      <w:r>
        <w:rPr>
          <w:rFonts w:hint="eastAsia" w:hAnsi="宋体" w:cstheme="minorEastAsia"/>
          <w:b/>
          <w:bCs/>
          <w:kern w:val="0"/>
          <w:szCs w:val="28"/>
          <w:highlight w:val="none"/>
          <w:lang w:eastAsia="zh-CN"/>
        </w:rPr>
        <w:t>2024年度</w:t>
      </w:r>
      <w:r>
        <w:rPr>
          <w:rFonts w:hint="eastAsia" w:hAnsi="宋体" w:cstheme="minorEastAsia"/>
          <w:b/>
          <w:bCs/>
          <w:kern w:val="0"/>
          <w:szCs w:val="28"/>
          <w:highlight w:val="none"/>
        </w:rPr>
        <w:t>部门整体支出绩效</w:t>
      </w:r>
      <w:r>
        <w:rPr>
          <w:rFonts w:hint="eastAsia" w:hAnsi="宋体" w:cstheme="minorEastAsia"/>
          <w:b/>
          <w:bCs/>
          <w:kern w:val="0"/>
          <w:szCs w:val="28"/>
          <w:highlight w:val="none"/>
          <w:lang w:val="en-US" w:eastAsia="zh-CN"/>
        </w:rPr>
        <w:t>自评</w:t>
      </w:r>
      <w:r>
        <w:rPr>
          <w:rFonts w:hint="eastAsia" w:hAnsi="宋体" w:cstheme="minorEastAsia"/>
          <w:b/>
          <w:bCs/>
          <w:kern w:val="0"/>
          <w:szCs w:val="28"/>
          <w:highlight w:val="none"/>
        </w:rPr>
        <w:t>指标得分情况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6FF4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0E88270">
            <w:pPr>
              <w:spacing w:line="240" w:lineRule="auto"/>
              <w:ind w:firstLine="0" w:firstLineChars="0"/>
              <w:jc w:val="center"/>
              <w:rPr>
                <w:b/>
                <w:bCs/>
                <w:sz w:val="24"/>
                <w:szCs w:val="21"/>
                <w:highlight w:val="none"/>
              </w:rPr>
            </w:pPr>
            <w:r>
              <w:rPr>
                <w:rFonts w:hint="eastAsia"/>
                <w:b/>
                <w:bCs/>
                <w:sz w:val="24"/>
                <w:szCs w:val="21"/>
                <w:highlight w:val="none"/>
              </w:rPr>
              <w:t>一级指标</w:t>
            </w:r>
          </w:p>
        </w:tc>
        <w:tc>
          <w:tcPr>
            <w:tcW w:w="2074" w:type="dxa"/>
            <w:vAlign w:val="center"/>
          </w:tcPr>
          <w:p w14:paraId="2BE667EC">
            <w:pPr>
              <w:spacing w:line="240" w:lineRule="auto"/>
              <w:ind w:firstLine="0" w:firstLineChars="0"/>
              <w:jc w:val="center"/>
              <w:rPr>
                <w:b/>
                <w:bCs/>
                <w:sz w:val="24"/>
                <w:szCs w:val="21"/>
                <w:highlight w:val="none"/>
              </w:rPr>
            </w:pPr>
            <w:r>
              <w:rPr>
                <w:rFonts w:hint="eastAsia"/>
                <w:b/>
                <w:bCs/>
                <w:sz w:val="24"/>
                <w:szCs w:val="21"/>
                <w:highlight w:val="none"/>
              </w:rPr>
              <w:t>分值</w:t>
            </w:r>
          </w:p>
        </w:tc>
        <w:tc>
          <w:tcPr>
            <w:tcW w:w="2074" w:type="dxa"/>
            <w:vAlign w:val="center"/>
          </w:tcPr>
          <w:p w14:paraId="5306B458">
            <w:pPr>
              <w:spacing w:line="240" w:lineRule="auto"/>
              <w:ind w:firstLine="0" w:firstLineChars="0"/>
              <w:jc w:val="center"/>
              <w:rPr>
                <w:b/>
                <w:bCs/>
                <w:sz w:val="24"/>
                <w:szCs w:val="21"/>
                <w:highlight w:val="none"/>
              </w:rPr>
            </w:pPr>
            <w:r>
              <w:rPr>
                <w:rFonts w:hint="eastAsia"/>
                <w:b/>
                <w:bCs/>
                <w:sz w:val="24"/>
                <w:szCs w:val="21"/>
                <w:highlight w:val="none"/>
              </w:rPr>
              <w:t>实际得分</w:t>
            </w:r>
          </w:p>
        </w:tc>
        <w:tc>
          <w:tcPr>
            <w:tcW w:w="2074" w:type="dxa"/>
            <w:vAlign w:val="center"/>
          </w:tcPr>
          <w:p w14:paraId="71DFD70A">
            <w:pPr>
              <w:spacing w:line="240" w:lineRule="auto"/>
              <w:ind w:firstLine="0" w:firstLineChars="0"/>
              <w:jc w:val="center"/>
              <w:rPr>
                <w:b/>
                <w:bCs/>
                <w:sz w:val="24"/>
                <w:szCs w:val="21"/>
                <w:highlight w:val="none"/>
              </w:rPr>
            </w:pPr>
            <w:r>
              <w:rPr>
                <w:rFonts w:hint="eastAsia"/>
                <w:b/>
                <w:bCs/>
                <w:sz w:val="24"/>
                <w:szCs w:val="21"/>
                <w:highlight w:val="none"/>
              </w:rPr>
              <w:t>得分率</w:t>
            </w:r>
          </w:p>
        </w:tc>
      </w:tr>
      <w:tr w14:paraId="6F76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65BBD42">
            <w:pPr>
              <w:spacing w:line="240" w:lineRule="auto"/>
              <w:ind w:firstLine="0" w:firstLineChars="0"/>
              <w:jc w:val="center"/>
              <w:rPr>
                <w:sz w:val="24"/>
                <w:szCs w:val="21"/>
                <w:highlight w:val="none"/>
              </w:rPr>
            </w:pPr>
            <w:r>
              <w:rPr>
                <w:rFonts w:hint="eastAsia"/>
                <w:sz w:val="24"/>
                <w:szCs w:val="21"/>
                <w:highlight w:val="none"/>
              </w:rPr>
              <w:t>预算执行率</w:t>
            </w:r>
          </w:p>
        </w:tc>
        <w:tc>
          <w:tcPr>
            <w:tcW w:w="2074" w:type="dxa"/>
            <w:vAlign w:val="bottom"/>
          </w:tcPr>
          <w:p w14:paraId="453553C2">
            <w:pPr>
              <w:spacing w:line="240" w:lineRule="auto"/>
              <w:ind w:firstLine="0" w:firstLineChars="0"/>
              <w:jc w:val="center"/>
              <w:rPr>
                <w:rFonts w:hint="eastAsia"/>
                <w:sz w:val="24"/>
                <w:szCs w:val="21"/>
                <w:highlight w:val="none"/>
                <w:lang w:val="en-US" w:eastAsia="zh-CN"/>
              </w:rPr>
            </w:pPr>
            <w:r>
              <w:rPr>
                <w:rFonts w:hint="default"/>
                <w:sz w:val="24"/>
                <w:szCs w:val="21"/>
                <w:highlight w:val="none"/>
                <w:lang w:val="en-US" w:eastAsia="zh-CN"/>
              </w:rPr>
              <w:t>10</w:t>
            </w:r>
          </w:p>
        </w:tc>
        <w:tc>
          <w:tcPr>
            <w:tcW w:w="2074" w:type="dxa"/>
            <w:vAlign w:val="bottom"/>
          </w:tcPr>
          <w:p w14:paraId="3C066AB6">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9.97</w:t>
            </w:r>
          </w:p>
        </w:tc>
        <w:tc>
          <w:tcPr>
            <w:tcW w:w="2074" w:type="dxa"/>
            <w:vAlign w:val="bottom"/>
          </w:tcPr>
          <w:p w14:paraId="33660117">
            <w:pPr>
              <w:spacing w:line="240" w:lineRule="auto"/>
              <w:ind w:firstLine="0" w:firstLineChars="0"/>
              <w:jc w:val="center"/>
              <w:rPr>
                <w:rFonts w:hint="eastAsia"/>
                <w:sz w:val="24"/>
                <w:szCs w:val="21"/>
                <w:highlight w:val="none"/>
                <w:lang w:val="en-US" w:eastAsia="zh-CN"/>
              </w:rPr>
            </w:pPr>
            <w:r>
              <w:rPr>
                <w:rFonts w:hint="eastAsia"/>
                <w:sz w:val="24"/>
                <w:szCs w:val="21"/>
                <w:highlight w:val="none"/>
                <w:lang w:val="en-US" w:eastAsia="zh-CN"/>
              </w:rPr>
              <w:t>99.70</w:t>
            </w:r>
            <w:r>
              <w:rPr>
                <w:rFonts w:hint="default"/>
                <w:sz w:val="24"/>
                <w:szCs w:val="21"/>
                <w:highlight w:val="none"/>
                <w:lang w:val="en-US" w:eastAsia="zh-CN"/>
              </w:rPr>
              <w:t>%</w:t>
            </w:r>
          </w:p>
        </w:tc>
      </w:tr>
      <w:tr w14:paraId="487B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4" w:type="dxa"/>
            <w:vAlign w:val="center"/>
          </w:tcPr>
          <w:p w14:paraId="079903D2">
            <w:pPr>
              <w:spacing w:line="240" w:lineRule="auto"/>
              <w:ind w:firstLine="0" w:firstLineChars="0"/>
              <w:jc w:val="center"/>
              <w:rPr>
                <w:sz w:val="24"/>
                <w:szCs w:val="21"/>
                <w:highlight w:val="none"/>
              </w:rPr>
            </w:pPr>
            <w:r>
              <w:rPr>
                <w:rFonts w:hint="eastAsia"/>
                <w:sz w:val="24"/>
                <w:szCs w:val="21"/>
                <w:highlight w:val="none"/>
              </w:rPr>
              <w:t>部门管理</w:t>
            </w:r>
          </w:p>
        </w:tc>
        <w:tc>
          <w:tcPr>
            <w:tcW w:w="2074" w:type="dxa"/>
            <w:vAlign w:val="bottom"/>
          </w:tcPr>
          <w:p w14:paraId="7F0EBFF3">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20</w:t>
            </w:r>
          </w:p>
        </w:tc>
        <w:tc>
          <w:tcPr>
            <w:tcW w:w="2074" w:type="dxa"/>
            <w:vAlign w:val="bottom"/>
          </w:tcPr>
          <w:p w14:paraId="42F07EA4">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19</w:t>
            </w:r>
          </w:p>
        </w:tc>
        <w:tc>
          <w:tcPr>
            <w:tcW w:w="2074" w:type="dxa"/>
            <w:vAlign w:val="bottom"/>
          </w:tcPr>
          <w:p w14:paraId="3BB00A6D">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95.00</w:t>
            </w:r>
            <w:r>
              <w:rPr>
                <w:rFonts w:hint="default"/>
                <w:sz w:val="24"/>
                <w:szCs w:val="21"/>
                <w:highlight w:val="none"/>
                <w:lang w:val="en-US" w:eastAsia="zh-CN"/>
              </w:rPr>
              <w:t>%</w:t>
            </w:r>
          </w:p>
        </w:tc>
      </w:tr>
      <w:tr w14:paraId="6F5E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4" w:type="dxa"/>
            <w:vAlign w:val="center"/>
          </w:tcPr>
          <w:p w14:paraId="5B1A6736">
            <w:pPr>
              <w:spacing w:line="240" w:lineRule="auto"/>
              <w:ind w:firstLine="0" w:firstLineChars="0"/>
              <w:jc w:val="center"/>
              <w:rPr>
                <w:rFonts w:hint="eastAsia"/>
                <w:sz w:val="24"/>
                <w:szCs w:val="21"/>
                <w:highlight w:val="none"/>
              </w:rPr>
            </w:pPr>
            <w:r>
              <w:rPr>
                <w:rFonts w:hint="eastAsia"/>
                <w:sz w:val="24"/>
                <w:szCs w:val="21"/>
                <w:highlight w:val="none"/>
              </w:rPr>
              <w:t>履职效果</w:t>
            </w:r>
          </w:p>
        </w:tc>
        <w:tc>
          <w:tcPr>
            <w:tcW w:w="2074" w:type="dxa"/>
            <w:vAlign w:val="bottom"/>
          </w:tcPr>
          <w:p w14:paraId="6176D726">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60</w:t>
            </w:r>
          </w:p>
        </w:tc>
        <w:tc>
          <w:tcPr>
            <w:tcW w:w="2074" w:type="dxa"/>
            <w:vAlign w:val="bottom"/>
          </w:tcPr>
          <w:p w14:paraId="28CE1425">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58.43</w:t>
            </w:r>
          </w:p>
        </w:tc>
        <w:tc>
          <w:tcPr>
            <w:tcW w:w="2074" w:type="dxa"/>
            <w:vAlign w:val="bottom"/>
          </w:tcPr>
          <w:p w14:paraId="07ACBC13">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97.38%</w:t>
            </w:r>
          </w:p>
        </w:tc>
      </w:tr>
      <w:tr w14:paraId="413C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4" w:type="dxa"/>
            <w:vAlign w:val="center"/>
          </w:tcPr>
          <w:p w14:paraId="76F336D7">
            <w:pPr>
              <w:spacing w:line="240" w:lineRule="auto"/>
              <w:ind w:firstLine="0" w:firstLineChars="0"/>
              <w:jc w:val="center"/>
              <w:rPr>
                <w:rFonts w:hint="eastAsia"/>
                <w:sz w:val="24"/>
                <w:szCs w:val="21"/>
                <w:highlight w:val="none"/>
              </w:rPr>
            </w:pPr>
            <w:r>
              <w:rPr>
                <w:rFonts w:hint="eastAsia"/>
                <w:sz w:val="24"/>
                <w:szCs w:val="21"/>
                <w:highlight w:val="none"/>
              </w:rPr>
              <w:t>能力建设</w:t>
            </w:r>
          </w:p>
        </w:tc>
        <w:tc>
          <w:tcPr>
            <w:tcW w:w="2074" w:type="dxa"/>
            <w:vAlign w:val="bottom"/>
          </w:tcPr>
          <w:p w14:paraId="714FF8F3">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10</w:t>
            </w:r>
          </w:p>
        </w:tc>
        <w:tc>
          <w:tcPr>
            <w:tcW w:w="2074" w:type="dxa"/>
            <w:vAlign w:val="bottom"/>
          </w:tcPr>
          <w:p w14:paraId="078F36F8">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9.01</w:t>
            </w:r>
          </w:p>
        </w:tc>
        <w:tc>
          <w:tcPr>
            <w:tcW w:w="2074" w:type="dxa"/>
            <w:vAlign w:val="bottom"/>
          </w:tcPr>
          <w:p w14:paraId="0494CEE5">
            <w:pPr>
              <w:spacing w:line="240" w:lineRule="auto"/>
              <w:ind w:firstLine="0" w:firstLineChars="0"/>
              <w:jc w:val="center"/>
              <w:rPr>
                <w:rFonts w:hint="default"/>
                <w:sz w:val="24"/>
                <w:szCs w:val="21"/>
                <w:highlight w:val="none"/>
                <w:lang w:val="en-US" w:eastAsia="zh-CN"/>
              </w:rPr>
            </w:pPr>
            <w:r>
              <w:rPr>
                <w:rFonts w:hint="eastAsia"/>
                <w:sz w:val="24"/>
                <w:szCs w:val="21"/>
                <w:highlight w:val="none"/>
                <w:lang w:val="en-US" w:eastAsia="zh-CN"/>
              </w:rPr>
              <w:t>90.10%</w:t>
            </w:r>
          </w:p>
        </w:tc>
      </w:tr>
      <w:tr w14:paraId="01D8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14EA9301">
            <w:pPr>
              <w:spacing w:line="240" w:lineRule="auto"/>
              <w:ind w:firstLine="0" w:firstLineChars="0"/>
              <w:jc w:val="center"/>
              <w:rPr>
                <w:b/>
                <w:bCs/>
                <w:sz w:val="24"/>
                <w:szCs w:val="21"/>
                <w:highlight w:val="none"/>
              </w:rPr>
            </w:pPr>
            <w:r>
              <w:rPr>
                <w:rFonts w:hint="eastAsia"/>
                <w:b/>
                <w:bCs/>
                <w:sz w:val="24"/>
                <w:szCs w:val="21"/>
                <w:highlight w:val="none"/>
              </w:rPr>
              <w:t>合计</w:t>
            </w:r>
          </w:p>
        </w:tc>
        <w:tc>
          <w:tcPr>
            <w:tcW w:w="2074" w:type="dxa"/>
            <w:vAlign w:val="bottom"/>
          </w:tcPr>
          <w:p w14:paraId="60F588CE">
            <w:pPr>
              <w:spacing w:line="240" w:lineRule="auto"/>
              <w:ind w:firstLine="0" w:firstLineChars="0"/>
              <w:jc w:val="center"/>
              <w:rPr>
                <w:rFonts w:hint="default"/>
                <w:b/>
                <w:bCs/>
                <w:sz w:val="24"/>
                <w:szCs w:val="21"/>
                <w:highlight w:val="none"/>
                <w:lang w:val="en-US" w:eastAsia="zh-CN"/>
              </w:rPr>
            </w:pPr>
            <w:r>
              <w:rPr>
                <w:rFonts w:hint="default"/>
                <w:b/>
                <w:bCs/>
                <w:sz w:val="24"/>
                <w:szCs w:val="21"/>
                <w:highlight w:val="none"/>
                <w:lang w:val="en-US" w:eastAsia="zh-CN"/>
              </w:rPr>
              <w:t>100</w:t>
            </w:r>
          </w:p>
        </w:tc>
        <w:tc>
          <w:tcPr>
            <w:tcW w:w="2074" w:type="dxa"/>
            <w:vAlign w:val="center"/>
          </w:tcPr>
          <w:p w14:paraId="3E5B157F">
            <w:pPr>
              <w:spacing w:line="240" w:lineRule="auto"/>
              <w:ind w:firstLine="0" w:firstLineChars="0"/>
              <w:jc w:val="center"/>
              <w:rPr>
                <w:rFonts w:hint="default"/>
                <w:b/>
                <w:bCs/>
                <w:sz w:val="24"/>
                <w:szCs w:val="21"/>
                <w:highlight w:val="none"/>
                <w:lang w:val="en-US" w:eastAsia="zh-CN"/>
              </w:rPr>
            </w:pPr>
            <w:r>
              <w:rPr>
                <w:rFonts w:hint="eastAsia"/>
                <w:b/>
                <w:bCs/>
                <w:sz w:val="24"/>
                <w:szCs w:val="21"/>
                <w:highlight w:val="none"/>
                <w:lang w:val="en-US" w:eastAsia="zh-CN"/>
              </w:rPr>
              <w:t>96.41</w:t>
            </w:r>
          </w:p>
        </w:tc>
        <w:tc>
          <w:tcPr>
            <w:tcW w:w="2074" w:type="dxa"/>
            <w:vAlign w:val="center"/>
          </w:tcPr>
          <w:p w14:paraId="6BB7F30F">
            <w:pPr>
              <w:spacing w:line="240" w:lineRule="auto"/>
              <w:ind w:firstLine="0" w:firstLineChars="0"/>
              <w:jc w:val="center"/>
              <w:rPr>
                <w:rFonts w:hint="default"/>
                <w:b/>
                <w:bCs/>
                <w:sz w:val="24"/>
                <w:szCs w:val="21"/>
                <w:highlight w:val="none"/>
                <w:lang w:val="en-US" w:eastAsia="zh-CN"/>
              </w:rPr>
            </w:pPr>
            <w:r>
              <w:rPr>
                <w:rFonts w:hint="eastAsia"/>
                <w:b/>
                <w:bCs/>
                <w:sz w:val="24"/>
                <w:szCs w:val="21"/>
                <w:highlight w:val="none"/>
                <w:lang w:val="en-US" w:eastAsia="zh-CN"/>
              </w:rPr>
              <w:t>96.41%</w:t>
            </w:r>
          </w:p>
        </w:tc>
      </w:tr>
    </w:tbl>
    <w:p w14:paraId="1F4B8EEE">
      <w:pPr>
        <w:ind w:firstLine="562"/>
        <w:rPr>
          <w:rFonts w:hint="eastAsia" w:hAnsi="宋体"/>
          <w:b/>
          <w:bCs/>
          <w:szCs w:val="28"/>
          <w:highlight w:val="none"/>
        </w:rPr>
      </w:pPr>
    </w:p>
    <w:p w14:paraId="2C161393">
      <w:pPr>
        <w:ind w:firstLine="562"/>
        <w:rPr>
          <w:rFonts w:hint="eastAsia" w:hAnsi="宋体"/>
          <w:szCs w:val="28"/>
          <w:highlight w:val="none"/>
        </w:rPr>
      </w:pPr>
      <w:r>
        <w:rPr>
          <w:rFonts w:hint="eastAsia" w:hAnsi="宋体"/>
          <w:b/>
          <w:bCs/>
          <w:szCs w:val="28"/>
          <w:highlight w:val="none"/>
        </w:rPr>
        <w:t>预期目标：</w:t>
      </w:r>
      <w:r>
        <w:rPr>
          <w:rFonts w:hint="eastAsia" w:ascii="仿宋_GB2312" w:hAnsi="宋体" w:eastAsia="仿宋_GB2312" w:cstheme="minorBidi"/>
          <w:sz w:val="28"/>
          <w:szCs w:val="28"/>
          <w:lang w:eastAsia="zh-CN"/>
        </w:rPr>
        <w:t>依法履行批捕、起诉职能，打击和惩治犯罪，维护社会稳定。强化立案监督、侦查活动监督、刑事审判监督、刑事执行检察、民事检察、行政检察、公益诉讼检察职能，提升检察机关司法公信力。深化司法改革，加强自身建设，提高依法履职能力。</w:t>
      </w:r>
    </w:p>
    <w:p w14:paraId="2601C950">
      <w:pPr>
        <w:ind w:firstLine="562"/>
        <w:rPr>
          <w:rFonts w:hint="eastAsia" w:ascii="仿宋_GB2312" w:hAnsi="宋体" w:eastAsia="仿宋_GB2312" w:cstheme="minorBidi"/>
          <w:sz w:val="28"/>
          <w:szCs w:val="28"/>
          <w:lang w:eastAsia="zh-CN"/>
        </w:rPr>
      </w:pPr>
      <w:r>
        <w:rPr>
          <w:rFonts w:hint="eastAsia" w:hAnsi="宋体"/>
          <w:b/>
          <w:bCs/>
          <w:szCs w:val="28"/>
          <w:highlight w:val="none"/>
        </w:rPr>
        <w:t>实际完成情况：</w:t>
      </w:r>
      <w:r>
        <w:rPr>
          <w:rFonts w:hint="eastAsia" w:hAnsi="宋体" w:cstheme="minorBidi"/>
          <w:sz w:val="28"/>
          <w:szCs w:val="28"/>
          <w:lang w:val="en-US" w:eastAsia="zh-CN"/>
        </w:rPr>
        <w:t>渭源县检察院在绩效目标达成上成果显著。在批捕、起诉工作中，秉持公正高效原则，对各类犯罪行为精准打击，有力惩治犯罪，有效维护社会稳定。在各项监督职能履行上，积极作为，通过强化立案监督，纠正有案不立、违法立案情况；侦查活动监督中规范侦查行为，保障司法公正。公益诉讼检察则守护公共利益。同时，检察院积极推进司法改革，引入信息化手段提升办案效率，加强内部管理与人员培训，提升干警依法履职能力，进一步提升检察机关司法公信力，赢得群众认可与好评</w:t>
      </w:r>
      <w:r>
        <w:rPr>
          <w:rFonts w:hint="eastAsia" w:ascii="仿宋_GB2312" w:hAnsi="宋体" w:eastAsia="仿宋_GB2312" w:cstheme="minorBidi"/>
          <w:sz w:val="28"/>
          <w:szCs w:val="28"/>
          <w:lang w:val="en-US" w:eastAsia="zh-CN"/>
        </w:rPr>
        <w:t>。</w:t>
      </w:r>
    </w:p>
    <w:p w14:paraId="6C0E04E1">
      <w:pPr>
        <w:pStyle w:val="5"/>
        <w:ind w:firstLine="643"/>
        <w:rPr>
          <w:highlight w:val="none"/>
        </w:rPr>
      </w:pPr>
      <w:bookmarkStart w:id="19" w:name="_Toc14506"/>
      <w:bookmarkStart w:id="20" w:name="_Toc7999"/>
      <w:r>
        <w:rPr>
          <w:rFonts w:hint="eastAsia"/>
          <w:highlight w:val="none"/>
        </w:rPr>
        <w:t>（三）各项指标完成情况分析</w:t>
      </w:r>
      <w:bookmarkEnd w:id="19"/>
      <w:bookmarkEnd w:id="20"/>
    </w:p>
    <w:p w14:paraId="4B6A331B">
      <w:pPr>
        <w:pStyle w:val="6"/>
        <w:ind w:firstLine="562"/>
        <w:rPr>
          <w:highlight w:val="none"/>
        </w:rPr>
      </w:pPr>
      <w:r>
        <w:rPr>
          <w:highlight w:val="none"/>
        </w:rPr>
        <w:t>1</w:t>
      </w:r>
      <w:r>
        <w:rPr>
          <w:rFonts w:hint="eastAsia"/>
          <w:highlight w:val="none"/>
        </w:rPr>
        <w:t>.预算执行率</w:t>
      </w:r>
    </w:p>
    <w:tbl>
      <w:tblPr>
        <w:tblStyle w:val="2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1559"/>
        <w:gridCol w:w="851"/>
        <w:gridCol w:w="850"/>
        <w:gridCol w:w="1276"/>
      </w:tblGrid>
      <w:tr w14:paraId="4CB0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vAlign w:val="center"/>
          </w:tcPr>
          <w:p w14:paraId="795BC8DD">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一级指标</w:t>
            </w:r>
          </w:p>
        </w:tc>
        <w:tc>
          <w:tcPr>
            <w:tcW w:w="1701" w:type="dxa"/>
            <w:tcBorders>
              <w:top w:val="single" w:color="auto" w:sz="4" w:space="0"/>
              <w:left w:val="nil"/>
              <w:bottom w:val="single" w:color="auto" w:sz="4" w:space="0"/>
              <w:right w:val="single" w:color="auto" w:sz="4" w:space="0"/>
            </w:tcBorders>
            <w:noWrap/>
            <w:vAlign w:val="center"/>
          </w:tcPr>
          <w:p w14:paraId="4CF7D5A8">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全年预算数</w:t>
            </w:r>
          </w:p>
        </w:tc>
        <w:tc>
          <w:tcPr>
            <w:tcW w:w="1559" w:type="dxa"/>
            <w:tcBorders>
              <w:top w:val="single" w:color="auto" w:sz="4" w:space="0"/>
              <w:left w:val="nil"/>
              <w:bottom w:val="single" w:color="auto" w:sz="4" w:space="0"/>
              <w:right w:val="single" w:color="auto" w:sz="4" w:space="0"/>
            </w:tcBorders>
            <w:noWrap/>
            <w:vAlign w:val="center"/>
          </w:tcPr>
          <w:p w14:paraId="25E44C9A">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实际支出数</w:t>
            </w:r>
          </w:p>
        </w:tc>
        <w:tc>
          <w:tcPr>
            <w:tcW w:w="851" w:type="dxa"/>
            <w:tcBorders>
              <w:top w:val="single" w:color="auto" w:sz="4" w:space="0"/>
              <w:left w:val="nil"/>
              <w:bottom w:val="single" w:color="auto" w:sz="4" w:space="0"/>
              <w:right w:val="single" w:color="auto" w:sz="4" w:space="0"/>
            </w:tcBorders>
            <w:noWrap/>
            <w:vAlign w:val="center"/>
          </w:tcPr>
          <w:p w14:paraId="4F2B8C24">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分值</w:t>
            </w:r>
          </w:p>
        </w:tc>
        <w:tc>
          <w:tcPr>
            <w:tcW w:w="850" w:type="dxa"/>
            <w:tcBorders>
              <w:top w:val="single" w:color="auto" w:sz="4" w:space="0"/>
              <w:left w:val="nil"/>
              <w:bottom w:val="single" w:color="auto" w:sz="4" w:space="0"/>
              <w:right w:val="single" w:color="auto" w:sz="4" w:space="0"/>
            </w:tcBorders>
            <w:noWrap/>
            <w:vAlign w:val="center"/>
          </w:tcPr>
          <w:p w14:paraId="157327BD">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得分</w:t>
            </w:r>
          </w:p>
        </w:tc>
        <w:tc>
          <w:tcPr>
            <w:tcW w:w="1276" w:type="dxa"/>
            <w:tcBorders>
              <w:top w:val="single" w:color="auto" w:sz="4" w:space="0"/>
              <w:left w:val="nil"/>
              <w:bottom w:val="single" w:color="auto" w:sz="4" w:space="0"/>
              <w:right w:val="single" w:color="auto" w:sz="4" w:space="0"/>
            </w:tcBorders>
            <w:vAlign w:val="center"/>
          </w:tcPr>
          <w:p w14:paraId="0D31FA68">
            <w:pPr>
              <w:widowControl/>
              <w:spacing w:line="240" w:lineRule="auto"/>
              <w:ind w:firstLine="0" w:firstLineChars="0"/>
              <w:jc w:val="center"/>
              <w:rPr>
                <w:rFonts w:hAnsi="宋体" w:cs="宋体"/>
                <w:b/>
                <w:bCs/>
                <w:color w:val="000000"/>
                <w:kern w:val="0"/>
                <w:sz w:val="24"/>
                <w:szCs w:val="24"/>
                <w:highlight w:val="none"/>
              </w:rPr>
            </w:pPr>
            <w:r>
              <w:rPr>
                <w:rFonts w:hint="eastAsia" w:hAnsi="宋体" w:cs="宋体"/>
                <w:b/>
                <w:bCs/>
                <w:color w:val="000000"/>
                <w:kern w:val="0"/>
                <w:sz w:val="24"/>
                <w:szCs w:val="24"/>
                <w:highlight w:val="none"/>
              </w:rPr>
              <w:t>得分率</w:t>
            </w:r>
          </w:p>
        </w:tc>
      </w:tr>
      <w:tr w14:paraId="0A37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vAlign w:val="center"/>
          </w:tcPr>
          <w:p w14:paraId="411CAB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预算执行率</w:t>
            </w:r>
          </w:p>
        </w:tc>
        <w:tc>
          <w:tcPr>
            <w:tcW w:w="1701" w:type="dxa"/>
            <w:tcBorders>
              <w:top w:val="single" w:color="auto" w:sz="4" w:space="0"/>
              <w:left w:val="nil"/>
              <w:bottom w:val="single" w:color="auto" w:sz="4" w:space="0"/>
              <w:right w:val="single" w:color="auto" w:sz="4" w:space="0"/>
            </w:tcBorders>
            <w:vAlign w:val="center"/>
          </w:tcPr>
          <w:p w14:paraId="228209D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976.46</w:t>
            </w:r>
          </w:p>
        </w:tc>
        <w:tc>
          <w:tcPr>
            <w:tcW w:w="1559" w:type="dxa"/>
            <w:tcBorders>
              <w:top w:val="single" w:color="auto" w:sz="4" w:space="0"/>
              <w:left w:val="nil"/>
              <w:bottom w:val="single" w:color="auto" w:sz="4" w:space="0"/>
              <w:right w:val="single" w:color="auto" w:sz="4" w:space="0"/>
            </w:tcBorders>
            <w:vAlign w:val="center"/>
          </w:tcPr>
          <w:p w14:paraId="78D84F7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973.73</w:t>
            </w:r>
          </w:p>
        </w:tc>
        <w:tc>
          <w:tcPr>
            <w:tcW w:w="851" w:type="dxa"/>
            <w:tcBorders>
              <w:top w:val="single" w:color="auto" w:sz="4" w:space="0"/>
              <w:left w:val="nil"/>
              <w:bottom w:val="single" w:color="auto" w:sz="4" w:space="0"/>
              <w:right w:val="single" w:color="auto" w:sz="4" w:space="0"/>
            </w:tcBorders>
            <w:vAlign w:val="center"/>
          </w:tcPr>
          <w:p w14:paraId="26D8FE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auto" w:sz="4" w:space="0"/>
              <w:left w:val="nil"/>
              <w:bottom w:val="single" w:color="auto" w:sz="4" w:space="0"/>
              <w:right w:val="single" w:color="auto" w:sz="4" w:space="0"/>
            </w:tcBorders>
            <w:vAlign w:val="center"/>
          </w:tcPr>
          <w:p w14:paraId="4F3B4C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9.97</w:t>
            </w:r>
          </w:p>
        </w:tc>
        <w:tc>
          <w:tcPr>
            <w:tcW w:w="1276" w:type="dxa"/>
            <w:tcBorders>
              <w:top w:val="single" w:color="auto" w:sz="4" w:space="0"/>
              <w:left w:val="nil"/>
              <w:bottom w:val="single" w:color="auto" w:sz="4" w:space="0"/>
              <w:right w:val="single" w:color="auto" w:sz="4" w:space="0"/>
            </w:tcBorders>
            <w:vAlign w:val="center"/>
          </w:tcPr>
          <w:p w14:paraId="4270EE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99.7%</w:t>
            </w:r>
          </w:p>
        </w:tc>
      </w:tr>
    </w:tbl>
    <w:p w14:paraId="00BDB193">
      <w:pPr>
        <w:ind w:firstLine="560"/>
        <w:rPr>
          <w:rFonts w:hint="eastAsia" w:hAnsi="宋体"/>
          <w:szCs w:val="28"/>
          <w:highlight w:val="none"/>
        </w:rPr>
      </w:pPr>
    </w:p>
    <w:p w14:paraId="1A7AD4F2">
      <w:pPr>
        <w:ind w:firstLine="560"/>
        <w:rPr>
          <w:rFonts w:hAnsi="宋体"/>
          <w:szCs w:val="28"/>
          <w:highlight w:val="none"/>
        </w:rPr>
      </w:pPr>
      <w:r>
        <w:rPr>
          <w:rFonts w:hint="eastAsia" w:hAnsi="宋体"/>
          <w:szCs w:val="28"/>
          <w:highlight w:val="none"/>
        </w:rPr>
        <w:t>我单位</w:t>
      </w:r>
      <w:r>
        <w:rPr>
          <w:rFonts w:hint="eastAsia" w:hAnsi="宋体"/>
          <w:szCs w:val="28"/>
          <w:highlight w:val="none"/>
          <w:lang w:eastAsia="zh-CN"/>
        </w:rPr>
        <w:t>2024年</w:t>
      </w:r>
      <w:r>
        <w:rPr>
          <w:rFonts w:hint="eastAsia" w:hAnsi="宋体"/>
          <w:szCs w:val="28"/>
          <w:highlight w:val="none"/>
        </w:rPr>
        <w:t>整体支出年初预算数</w:t>
      </w:r>
      <w:r>
        <w:rPr>
          <w:rFonts w:hint="eastAsia" w:hAnsi="宋体"/>
          <w:szCs w:val="28"/>
          <w:highlight w:val="none"/>
          <w:lang w:val="en-US" w:eastAsia="zh-CN"/>
        </w:rPr>
        <w:t>938.54</w:t>
      </w:r>
      <w:r>
        <w:rPr>
          <w:rFonts w:hint="eastAsia" w:hAnsi="宋体"/>
          <w:szCs w:val="28"/>
          <w:highlight w:val="none"/>
        </w:rPr>
        <w:t>万元，全年预算数</w:t>
      </w:r>
      <w:r>
        <w:rPr>
          <w:rFonts w:hint="eastAsia" w:hAnsi="宋体"/>
          <w:szCs w:val="28"/>
          <w:highlight w:val="none"/>
          <w:lang w:val="en-US" w:eastAsia="zh-CN"/>
        </w:rPr>
        <w:t>976.46</w:t>
      </w:r>
      <w:r>
        <w:rPr>
          <w:rFonts w:hint="eastAsia" w:hAnsi="宋体"/>
          <w:szCs w:val="28"/>
          <w:highlight w:val="none"/>
        </w:rPr>
        <w:t>万元，全年执行数</w:t>
      </w:r>
      <w:r>
        <w:rPr>
          <w:rFonts w:hint="eastAsia" w:hAnsi="宋体"/>
          <w:szCs w:val="28"/>
          <w:highlight w:val="none"/>
          <w:lang w:val="en-US" w:eastAsia="zh-CN"/>
        </w:rPr>
        <w:t>973.73</w:t>
      </w:r>
      <w:r>
        <w:rPr>
          <w:rFonts w:hint="eastAsia" w:hAnsi="宋体"/>
          <w:szCs w:val="28"/>
          <w:highlight w:val="none"/>
        </w:rPr>
        <w:t>万元，预算执行率</w:t>
      </w:r>
      <w:r>
        <w:rPr>
          <w:rFonts w:hint="eastAsia" w:hAnsi="宋体"/>
          <w:szCs w:val="28"/>
          <w:highlight w:val="none"/>
          <w:lang w:val="en-US" w:eastAsia="zh-CN"/>
        </w:rPr>
        <w:t>99.7</w:t>
      </w:r>
      <w:r>
        <w:rPr>
          <w:rFonts w:hint="eastAsia" w:hAnsi="宋体"/>
          <w:szCs w:val="28"/>
          <w:highlight w:val="none"/>
        </w:rPr>
        <w:t>%</w:t>
      </w:r>
      <w:r>
        <w:rPr>
          <w:rFonts w:hint="eastAsia"/>
          <w:color w:val="000000" w:themeColor="text1"/>
          <w:szCs w:val="28"/>
          <w:highlight w:val="none"/>
          <w14:textFill>
            <w14:solidFill>
              <w14:schemeClr w14:val="tx1"/>
            </w14:solidFill>
          </w14:textFill>
        </w:rPr>
        <w:t>。</w:t>
      </w:r>
      <w:r>
        <w:rPr>
          <w:rFonts w:hint="eastAsia" w:hAnsi="宋体"/>
          <w:szCs w:val="28"/>
          <w:highlight w:val="none"/>
        </w:rPr>
        <w:t>指标分值10分，自评得分</w:t>
      </w:r>
      <w:r>
        <w:rPr>
          <w:rFonts w:hint="eastAsia" w:hAnsi="宋体"/>
          <w:szCs w:val="28"/>
          <w:highlight w:val="none"/>
          <w:lang w:val="en-US" w:eastAsia="zh-CN"/>
        </w:rPr>
        <w:t>9.97</w:t>
      </w:r>
      <w:r>
        <w:rPr>
          <w:rFonts w:hint="eastAsia" w:hAnsi="宋体"/>
          <w:szCs w:val="28"/>
          <w:highlight w:val="none"/>
        </w:rPr>
        <w:t>分。</w:t>
      </w:r>
    </w:p>
    <w:p w14:paraId="6571FD65">
      <w:pPr>
        <w:pStyle w:val="6"/>
        <w:ind w:firstLine="562"/>
        <w:rPr>
          <w:highlight w:val="none"/>
        </w:rPr>
      </w:pPr>
      <w:r>
        <w:rPr>
          <w:rFonts w:hint="eastAsia"/>
          <w:highlight w:val="none"/>
        </w:rPr>
        <w:t>2.部门管理</w:t>
      </w:r>
    </w:p>
    <w:p w14:paraId="04613457">
      <w:pPr>
        <w:ind w:firstLine="560"/>
        <w:rPr>
          <w:rFonts w:hint="eastAsia" w:hAnsi="宋体"/>
          <w:szCs w:val="28"/>
          <w:highlight w:val="none"/>
        </w:rPr>
      </w:pPr>
      <w:r>
        <w:rPr>
          <w:rFonts w:hint="eastAsia" w:hAnsi="宋体"/>
          <w:szCs w:val="28"/>
          <w:highlight w:val="none"/>
        </w:rPr>
        <w:t>根据《</w:t>
      </w:r>
      <w:r>
        <w:rPr>
          <w:rFonts w:hint="eastAsia" w:hAnsi="宋体"/>
          <w:szCs w:val="28"/>
          <w:highlight w:val="none"/>
          <w:lang w:eastAsia="zh-CN"/>
        </w:rPr>
        <w:t>2024年渭源县人民检察院</w:t>
      </w:r>
      <w:r>
        <w:rPr>
          <w:rFonts w:hint="eastAsia" w:hAnsi="宋体"/>
          <w:szCs w:val="28"/>
          <w:highlight w:val="none"/>
        </w:rPr>
        <w:t>单位整体支出绩效自评表》，一级指标部门管理下设</w:t>
      </w:r>
      <w:r>
        <w:rPr>
          <w:rFonts w:hint="eastAsia" w:hAnsi="宋体"/>
          <w:szCs w:val="28"/>
          <w:highlight w:val="none"/>
          <w:lang w:val="en-US" w:eastAsia="zh-CN"/>
        </w:rPr>
        <w:t>10</w:t>
      </w:r>
      <w:r>
        <w:rPr>
          <w:rFonts w:hint="eastAsia" w:hAnsi="宋体"/>
          <w:szCs w:val="28"/>
          <w:highlight w:val="none"/>
        </w:rPr>
        <w:t>个三级指标，指标分值合计</w:t>
      </w:r>
      <w:r>
        <w:rPr>
          <w:rFonts w:hint="eastAsia" w:hAnsi="宋体"/>
          <w:szCs w:val="28"/>
          <w:highlight w:val="none"/>
          <w:lang w:val="en-US" w:eastAsia="zh-CN"/>
        </w:rPr>
        <w:t>20</w:t>
      </w:r>
      <w:r>
        <w:rPr>
          <w:rFonts w:hint="eastAsia" w:hAnsi="宋体"/>
          <w:szCs w:val="28"/>
          <w:highlight w:val="none"/>
        </w:rPr>
        <w:t>分，自评得分</w:t>
      </w:r>
      <w:r>
        <w:rPr>
          <w:rFonts w:hint="eastAsia" w:hAnsi="宋体"/>
          <w:szCs w:val="28"/>
          <w:highlight w:val="none"/>
          <w:lang w:val="en-US" w:eastAsia="zh-CN"/>
        </w:rPr>
        <w:t>19</w:t>
      </w:r>
      <w:r>
        <w:rPr>
          <w:rFonts w:hint="eastAsia" w:hAnsi="宋体"/>
          <w:szCs w:val="28"/>
          <w:highlight w:val="none"/>
        </w:rPr>
        <w:t>分，得分率为</w:t>
      </w:r>
      <w:r>
        <w:rPr>
          <w:rFonts w:hint="eastAsia" w:hAnsi="宋体"/>
          <w:szCs w:val="28"/>
          <w:highlight w:val="none"/>
          <w:lang w:val="en-US" w:eastAsia="zh-CN"/>
        </w:rPr>
        <w:t>95%</w:t>
      </w:r>
      <w:r>
        <w:rPr>
          <w:rFonts w:hint="eastAsia" w:hAnsi="宋体"/>
          <w:szCs w:val="28"/>
          <w:highlight w:val="none"/>
        </w:rPr>
        <w:t>。</w:t>
      </w:r>
    </w:p>
    <w:tbl>
      <w:tblPr>
        <w:tblStyle w:val="22"/>
        <w:tblW w:w="4998" w:type="pct"/>
        <w:jc w:val="center"/>
        <w:shd w:val="clear" w:color="auto" w:fill="auto"/>
        <w:tblLayout w:type="fixed"/>
        <w:tblCellMar>
          <w:top w:w="0" w:type="dxa"/>
          <w:left w:w="0" w:type="dxa"/>
          <w:bottom w:w="0" w:type="dxa"/>
          <w:right w:w="0" w:type="dxa"/>
        </w:tblCellMar>
      </w:tblPr>
      <w:tblGrid>
        <w:gridCol w:w="2285"/>
        <w:gridCol w:w="1170"/>
        <w:gridCol w:w="1740"/>
        <w:gridCol w:w="810"/>
        <w:gridCol w:w="886"/>
        <w:gridCol w:w="1442"/>
      </w:tblGrid>
      <w:tr w14:paraId="3D2B433D">
        <w:tblPrEx>
          <w:tblCellMar>
            <w:top w:w="0" w:type="dxa"/>
            <w:left w:w="0" w:type="dxa"/>
            <w:bottom w:w="0" w:type="dxa"/>
            <w:right w:w="0" w:type="dxa"/>
          </w:tblCellMar>
        </w:tblPrEx>
        <w:trPr>
          <w:trHeight w:val="559"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A22AB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三级指标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76E8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年度指标值</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88990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实际完成值</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AF13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675D6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980C0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62736001">
        <w:tblPrEx>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BCADD">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项目支出预算执行率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073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F1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3DA5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B8A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840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E47BCDF">
        <w:tblPrEx>
          <w:shd w:val="clear" w:color="auto" w:fill="auto"/>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22E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基本支出预算执行率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A20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E2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99.61</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F0E9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3D8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214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45A34F85">
        <w:tblPrEx>
          <w:shd w:val="clear" w:color="auto" w:fill="auto"/>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8FF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结转结余变动率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658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&lt;=0%</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020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318B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E93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09B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D06EC13">
        <w:tblPrEx>
          <w:shd w:val="clear" w:color="auto" w:fill="auto"/>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4C3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“三公”经费控制率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E44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DC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9C00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850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1D9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FD17034">
        <w:tblPrEx>
          <w:shd w:val="clear" w:color="auto" w:fill="auto"/>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1ED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7E6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3BC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9F7D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876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36C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524392F8">
        <w:tblPrEx>
          <w:shd w:val="clear" w:color="auto" w:fill="auto"/>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1F1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资金使用规范性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EB6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C1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BF64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54B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FAB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36E29775">
        <w:tblPrEx>
          <w:shd w:val="clear" w:color="auto" w:fill="auto"/>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383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政府采购规范性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185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9D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3A34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4B4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A28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0BE92656">
        <w:tblPrEx>
          <w:shd w:val="clear" w:color="auto" w:fill="auto"/>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346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在职人员控制率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118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E1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96.42</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4915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91E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14D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C35A655">
        <w:tblPrEx>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6DA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重点工作管理制度健全性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A78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CA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19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954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A91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6D074669">
        <w:tblPrEx>
          <w:shd w:val="clear" w:color="auto" w:fill="auto"/>
          <w:tblCellMar>
            <w:top w:w="0" w:type="dxa"/>
            <w:left w:w="0" w:type="dxa"/>
            <w:bottom w:w="0" w:type="dxa"/>
            <w:right w:w="0" w:type="dxa"/>
          </w:tblCellMar>
        </w:tblPrEx>
        <w:trPr>
          <w:trHeight w:val="564" w:hRule="atLeast"/>
          <w:jc w:val="center"/>
        </w:trPr>
        <w:tc>
          <w:tcPr>
            <w:tcW w:w="13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14C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资产管理规范性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05E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1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37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4A03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8F0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4D7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509113A1">
        <w:tblPrEx>
          <w:shd w:val="clear" w:color="auto" w:fill="auto"/>
          <w:tblCellMar>
            <w:top w:w="0" w:type="dxa"/>
            <w:left w:w="0" w:type="dxa"/>
            <w:bottom w:w="0" w:type="dxa"/>
            <w:right w:w="0" w:type="dxa"/>
          </w:tblCellMar>
        </w:tblPrEx>
        <w:trPr>
          <w:trHeight w:val="564" w:hRule="atLeast"/>
          <w:jc w:val="center"/>
        </w:trPr>
        <w:tc>
          <w:tcPr>
            <w:tcW w:w="3117"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35CED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合计</w:t>
            </w:r>
          </w:p>
        </w:tc>
        <w:tc>
          <w:tcPr>
            <w:tcW w:w="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D359F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20</w:t>
            </w:r>
          </w:p>
        </w:tc>
        <w:tc>
          <w:tcPr>
            <w:tcW w:w="5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22944FA">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19</w:t>
            </w:r>
          </w:p>
        </w:tc>
        <w:tc>
          <w:tcPr>
            <w:tcW w:w="8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F418902">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95%</w:t>
            </w:r>
          </w:p>
        </w:tc>
      </w:tr>
    </w:tbl>
    <w:p w14:paraId="78AE31CA">
      <w:pPr>
        <w:ind w:left="0" w:leftChars="0" w:firstLine="562" w:firstLineChars="200"/>
        <w:rPr>
          <w:rFonts w:hint="eastAsia" w:hAnsi="宋体" w:cs="宋体"/>
          <w:b/>
          <w:bCs/>
          <w:kern w:val="0"/>
          <w:szCs w:val="28"/>
          <w:highlight w:val="none"/>
        </w:rPr>
      </w:pPr>
    </w:p>
    <w:p w14:paraId="26EC826C">
      <w:pPr>
        <w:ind w:firstLine="562"/>
        <w:rPr>
          <w:rFonts w:hint="eastAsia" w:hAnsi="宋体"/>
          <w:szCs w:val="28"/>
          <w:highlight w:val="none"/>
        </w:rPr>
      </w:pPr>
      <w:r>
        <w:rPr>
          <w:rFonts w:hint="eastAsia" w:hAnsi="宋体" w:cs="宋体"/>
          <w:b/>
          <w:bCs/>
          <w:kern w:val="0"/>
          <w:szCs w:val="28"/>
          <w:highlight w:val="none"/>
        </w:rPr>
        <w:t>项目支出预算执行率：</w:t>
      </w:r>
      <w:r>
        <w:rPr>
          <w:rFonts w:hint="eastAsia" w:hAnsi="宋体"/>
          <w:szCs w:val="28"/>
          <w:highlight w:val="none"/>
        </w:rPr>
        <w:t>该指标反映项目支出实际数占预算数的比值。</w:t>
      </w:r>
      <w:r>
        <w:rPr>
          <w:rFonts w:hint="eastAsia" w:hAnsi="宋体"/>
          <w:szCs w:val="28"/>
          <w:highlight w:val="none"/>
          <w:lang w:eastAsia="zh-CN"/>
        </w:rPr>
        <w:t>2024年度</w:t>
      </w:r>
      <w:r>
        <w:rPr>
          <w:rFonts w:hint="eastAsia" w:hAnsi="宋体"/>
          <w:szCs w:val="28"/>
          <w:highlight w:val="none"/>
        </w:rPr>
        <w:t>项目支出全年预算数</w:t>
      </w:r>
      <w:r>
        <w:rPr>
          <w:rFonts w:hint="eastAsia" w:hAnsi="宋体"/>
          <w:szCs w:val="28"/>
          <w:highlight w:val="none"/>
          <w:lang w:val="en-US" w:eastAsia="zh-CN"/>
        </w:rPr>
        <w:t>270</w:t>
      </w:r>
      <w:r>
        <w:rPr>
          <w:rFonts w:hint="eastAsia" w:hAnsi="宋体"/>
          <w:szCs w:val="28"/>
          <w:highlight w:val="none"/>
        </w:rPr>
        <w:t>万元，实际支出数</w:t>
      </w:r>
      <w:r>
        <w:rPr>
          <w:rFonts w:hint="eastAsia" w:hAnsi="宋体"/>
          <w:szCs w:val="28"/>
          <w:highlight w:val="none"/>
          <w:lang w:val="en-US" w:eastAsia="zh-CN"/>
        </w:rPr>
        <w:t>270</w:t>
      </w:r>
      <w:r>
        <w:rPr>
          <w:rFonts w:hint="eastAsia" w:hAnsi="宋体"/>
          <w:szCs w:val="28"/>
          <w:highlight w:val="none"/>
        </w:rPr>
        <w:t>万元，各项项目资金支付及时，项目支出预算执行率达到</w:t>
      </w:r>
      <w:r>
        <w:rPr>
          <w:rFonts w:hint="eastAsia" w:hAnsi="宋体"/>
          <w:szCs w:val="28"/>
          <w:highlight w:val="none"/>
          <w:lang w:val="en-US" w:eastAsia="zh-CN"/>
        </w:rPr>
        <w:t>100</w:t>
      </w:r>
      <w:r>
        <w:rPr>
          <w:rFonts w:hint="eastAsia" w:hAnsi="宋体"/>
          <w:szCs w:val="28"/>
          <w:highlight w:val="none"/>
        </w:rPr>
        <w:t>%。指标分值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分，得分率为100%。</w:t>
      </w:r>
    </w:p>
    <w:p w14:paraId="1DA59F33">
      <w:pPr>
        <w:ind w:left="0" w:leftChars="0" w:firstLine="562" w:firstLineChars="200"/>
        <w:rPr>
          <w:rFonts w:hAnsi="宋体"/>
          <w:szCs w:val="28"/>
          <w:highlight w:val="none"/>
        </w:rPr>
      </w:pPr>
      <w:r>
        <w:rPr>
          <w:rFonts w:hint="eastAsia" w:hAnsi="宋体" w:cs="宋体"/>
          <w:b/>
          <w:bCs/>
          <w:kern w:val="0"/>
          <w:szCs w:val="28"/>
          <w:highlight w:val="none"/>
        </w:rPr>
        <w:t>基本支出预算执行率：</w:t>
      </w:r>
      <w:r>
        <w:rPr>
          <w:rFonts w:hint="eastAsia" w:hAnsi="宋体"/>
          <w:szCs w:val="28"/>
          <w:highlight w:val="none"/>
        </w:rPr>
        <w:t>该指标反映基本支出实际数占预算数的比值，</w:t>
      </w:r>
      <w:r>
        <w:rPr>
          <w:rFonts w:hint="eastAsia" w:hAnsi="宋体"/>
          <w:szCs w:val="28"/>
          <w:highlight w:val="none"/>
          <w:lang w:eastAsia="zh-CN"/>
        </w:rPr>
        <w:t>2024年度</w:t>
      </w:r>
      <w:r>
        <w:rPr>
          <w:rFonts w:hint="eastAsia" w:hAnsi="宋体"/>
          <w:szCs w:val="28"/>
          <w:highlight w:val="none"/>
        </w:rPr>
        <w:t>基本支出全年预算数</w:t>
      </w:r>
      <w:r>
        <w:rPr>
          <w:rFonts w:hint="eastAsia" w:hAnsi="宋体"/>
          <w:szCs w:val="28"/>
          <w:highlight w:val="none"/>
          <w:lang w:eastAsia="zh-CN"/>
        </w:rPr>
        <w:t>7</w:t>
      </w:r>
      <w:r>
        <w:rPr>
          <w:rFonts w:hint="eastAsia" w:hAnsi="宋体"/>
          <w:szCs w:val="28"/>
          <w:highlight w:val="none"/>
          <w:lang w:val="en-US" w:eastAsia="zh-CN"/>
        </w:rPr>
        <w:t>06.46</w:t>
      </w:r>
      <w:r>
        <w:rPr>
          <w:rFonts w:hint="eastAsia" w:hAnsi="宋体"/>
          <w:szCs w:val="28"/>
          <w:highlight w:val="none"/>
        </w:rPr>
        <w:t>万元，实际支出数</w:t>
      </w:r>
      <w:r>
        <w:rPr>
          <w:rFonts w:hint="eastAsia" w:hAnsi="宋体"/>
          <w:szCs w:val="28"/>
          <w:highlight w:val="none"/>
          <w:lang w:eastAsia="zh-CN"/>
        </w:rPr>
        <w:t>7</w:t>
      </w:r>
      <w:r>
        <w:rPr>
          <w:rFonts w:hint="eastAsia" w:hAnsi="宋体"/>
          <w:szCs w:val="28"/>
          <w:highlight w:val="none"/>
          <w:lang w:val="en-US" w:eastAsia="zh-CN"/>
        </w:rPr>
        <w:t>03.73</w:t>
      </w:r>
      <w:r>
        <w:rPr>
          <w:rFonts w:hint="eastAsia" w:hAnsi="宋体"/>
          <w:szCs w:val="28"/>
          <w:highlight w:val="none"/>
        </w:rPr>
        <w:t>万元，基本支出预算执行率达到</w:t>
      </w:r>
      <w:r>
        <w:rPr>
          <w:rFonts w:hint="eastAsia" w:hAnsi="宋体"/>
          <w:szCs w:val="28"/>
          <w:highlight w:val="none"/>
          <w:lang w:val="en-US" w:eastAsia="zh-CN"/>
        </w:rPr>
        <w:t>99.61</w:t>
      </w:r>
      <w:r>
        <w:rPr>
          <w:rFonts w:hint="eastAsia" w:hAnsi="宋体"/>
          <w:szCs w:val="28"/>
          <w:highlight w:val="none"/>
        </w:rPr>
        <w:t>%。指标分值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分，得分率为100%。</w:t>
      </w:r>
    </w:p>
    <w:p w14:paraId="5C707D1C">
      <w:pPr>
        <w:ind w:firstLine="562"/>
        <w:rPr>
          <w:rFonts w:hint="eastAsia" w:hAnsi="宋体"/>
          <w:szCs w:val="28"/>
          <w:highlight w:val="none"/>
        </w:rPr>
      </w:pPr>
      <w:r>
        <w:rPr>
          <w:rFonts w:hint="eastAsia" w:hAnsi="宋体" w:cs="宋体"/>
          <w:b/>
          <w:bCs/>
          <w:kern w:val="0"/>
          <w:szCs w:val="28"/>
          <w:highlight w:val="none"/>
        </w:rPr>
        <w:t>结转结余变动率：</w:t>
      </w:r>
      <w:r>
        <w:rPr>
          <w:rFonts w:hint="eastAsia" w:hAnsi="宋体"/>
          <w:szCs w:val="28"/>
          <w:highlight w:val="none"/>
        </w:rPr>
        <w:t>该指标反映本年度结转资金相比上年度结转资金的增减程度。</w:t>
      </w:r>
      <w:r>
        <w:rPr>
          <w:rFonts w:hint="eastAsia" w:hAnsi="宋体"/>
          <w:szCs w:val="28"/>
          <w:highlight w:val="none"/>
          <w:lang w:val="en-US" w:eastAsia="zh-CN"/>
        </w:rPr>
        <w:t>2024年</w:t>
      </w:r>
      <w:r>
        <w:rPr>
          <w:rFonts w:hint="eastAsia" w:hAnsi="宋体"/>
          <w:szCs w:val="28"/>
          <w:highlight w:val="none"/>
        </w:rPr>
        <w:t>结转资金81</w:t>
      </w:r>
      <w:r>
        <w:rPr>
          <w:rFonts w:hint="eastAsia" w:hAnsi="宋体"/>
          <w:szCs w:val="28"/>
          <w:highlight w:val="none"/>
          <w:lang w:val="en-US" w:eastAsia="zh-CN"/>
        </w:rPr>
        <w:t>.16万元，将上年相等，</w:t>
      </w:r>
      <w:r>
        <w:rPr>
          <w:rFonts w:hint="eastAsia" w:hAnsi="宋体"/>
          <w:szCs w:val="28"/>
          <w:highlight w:val="none"/>
        </w:rPr>
        <w:t>变动率为</w:t>
      </w:r>
      <w:r>
        <w:rPr>
          <w:rFonts w:hint="eastAsia" w:hAnsi="宋体"/>
          <w:szCs w:val="28"/>
          <w:highlight w:val="none"/>
          <w:lang w:val="en-US" w:eastAsia="zh-CN"/>
        </w:rPr>
        <w:t>0</w:t>
      </w:r>
      <w:r>
        <w:rPr>
          <w:rFonts w:hint="eastAsia" w:hAnsi="宋体"/>
          <w:szCs w:val="28"/>
          <w:highlight w:val="none"/>
        </w:rPr>
        <w:t>%，我院资金结转结余有效控制在目标值内</w:t>
      </w:r>
      <w:r>
        <w:rPr>
          <w:rFonts w:hint="eastAsia" w:hAnsi="宋体"/>
          <w:szCs w:val="28"/>
          <w:highlight w:val="none"/>
          <w:lang w:eastAsia="zh-CN"/>
        </w:rPr>
        <w:t>。</w:t>
      </w:r>
      <w:r>
        <w:rPr>
          <w:rFonts w:hint="eastAsia" w:hAnsi="宋体"/>
          <w:szCs w:val="28"/>
          <w:highlight w:val="none"/>
        </w:rPr>
        <w:t>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14:paraId="2CB02340">
      <w:pPr>
        <w:ind w:firstLine="562"/>
        <w:rPr>
          <w:rFonts w:hAnsi="宋体"/>
          <w:szCs w:val="28"/>
          <w:highlight w:val="none"/>
        </w:rPr>
      </w:pPr>
      <w:r>
        <w:rPr>
          <w:rFonts w:hint="eastAsia" w:hAnsi="宋体" w:cs="宋体"/>
          <w:b/>
          <w:bCs/>
          <w:kern w:val="0"/>
          <w:szCs w:val="28"/>
          <w:highlight w:val="none"/>
        </w:rPr>
        <w:t>“三公经费”控制率：</w:t>
      </w:r>
      <w:r>
        <w:rPr>
          <w:rFonts w:hint="eastAsia" w:hAnsi="宋体"/>
          <w:szCs w:val="28"/>
          <w:highlight w:val="none"/>
        </w:rPr>
        <w:t>该指标反映三公经费实际数占预算安排数的比值。</w:t>
      </w:r>
      <w:r>
        <w:rPr>
          <w:rFonts w:hint="eastAsia" w:hAnsi="宋体"/>
          <w:szCs w:val="28"/>
          <w:highlight w:val="none"/>
          <w:lang w:val="en-US" w:eastAsia="zh-CN"/>
        </w:rPr>
        <w:t>全年预算数15万元，全年支出15万元，</w:t>
      </w:r>
      <w:r>
        <w:rPr>
          <w:rFonts w:hint="eastAsia" w:hAnsi="宋体"/>
          <w:szCs w:val="28"/>
          <w:highlight w:val="none"/>
        </w:rPr>
        <w:t>“三公经费”控制率</w:t>
      </w:r>
      <w:r>
        <w:rPr>
          <w:rFonts w:hint="eastAsia" w:hAnsi="宋体"/>
          <w:szCs w:val="28"/>
          <w:highlight w:val="none"/>
          <w:lang w:val="en-US" w:eastAsia="zh-CN"/>
        </w:rPr>
        <w:t>实际完成值</w:t>
      </w:r>
      <w:r>
        <w:rPr>
          <w:rFonts w:hint="eastAsia" w:hAnsi="宋体"/>
          <w:szCs w:val="28"/>
          <w:highlight w:val="none"/>
        </w:rPr>
        <w:t>为</w:t>
      </w:r>
      <w:r>
        <w:rPr>
          <w:rFonts w:hint="eastAsia" w:hAnsi="宋体"/>
          <w:szCs w:val="28"/>
          <w:highlight w:val="none"/>
          <w:lang w:val="en-US" w:eastAsia="zh-CN"/>
        </w:rPr>
        <w:t>100%</w:t>
      </w:r>
      <w:r>
        <w:rPr>
          <w:rFonts w:hint="eastAsia" w:hAnsi="宋体"/>
          <w:szCs w:val="28"/>
          <w:highlight w:val="none"/>
        </w:rPr>
        <w:t>，我院三公经费控制在预算范围内</w:t>
      </w:r>
      <w:r>
        <w:rPr>
          <w:rFonts w:hint="eastAsia" w:hAnsi="宋体"/>
          <w:szCs w:val="28"/>
          <w:highlight w:val="none"/>
          <w:lang w:eastAsia="zh-CN"/>
        </w:rPr>
        <w:t>。</w:t>
      </w:r>
      <w:r>
        <w:rPr>
          <w:rFonts w:hint="eastAsia" w:hAnsi="宋体"/>
          <w:szCs w:val="28"/>
          <w:highlight w:val="none"/>
        </w:rPr>
        <w:t>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14:paraId="4EB934F4">
      <w:pPr>
        <w:ind w:firstLine="562"/>
        <w:rPr>
          <w:rFonts w:hAnsi="宋体"/>
          <w:szCs w:val="28"/>
          <w:highlight w:val="none"/>
        </w:rPr>
      </w:pPr>
      <w:r>
        <w:rPr>
          <w:rFonts w:hint="eastAsia" w:hAnsi="宋体" w:cs="宋体"/>
          <w:b/>
          <w:bCs/>
          <w:kern w:val="0"/>
          <w:szCs w:val="28"/>
          <w:highlight w:val="none"/>
        </w:rPr>
        <w:t>财务管理制度健全性：</w:t>
      </w:r>
      <w:r>
        <w:rPr>
          <w:rFonts w:hint="eastAsia" w:hAnsi="宋体"/>
          <w:szCs w:val="28"/>
          <w:highlight w:val="none"/>
        </w:rPr>
        <w:t>该指标反映部门财务管理制度的健全与否，为加强我院的财务管理，规范会计核算业务，切实做好与会计核算中心的业务衔接，根据《会计法》及相关财经法规，我院制定了《</w:t>
      </w:r>
      <w:r>
        <w:rPr>
          <w:rFonts w:hint="eastAsia" w:hAnsi="宋体"/>
          <w:szCs w:val="28"/>
          <w:highlight w:val="none"/>
          <w:lang w:eastAsia="zh-CN"/>
        </w:rPr>
        <w:t>渭源县人民检察院</w:t>
      </w:r>
      <w:r>
        <w:rPr>
          <w:rFonts w:hint="eastAsia" w:hAnsi="宋体"/>
          <w:szCs w:val="28"/>
          <w:highlight w:val="none"/>
        </w:rPr>
        <w:t>财务管理制度》，对资金开支有完备的审批流程和管控手续。大额资金均由党委会研究通过后使用。在预算执行、事项支出、会计核算以及重大事项支出程序等方面不存在不规范现象，无虚列项目支出，截留、挤占、挪用项目资金等情况。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1.8</w:t>
      </w:r>
      <w:r>
        <w:rPr>
          <w:rFonts w:hint="eastAsia" w:hAnsi="宋体"/>
          <w:szCs w:val="28"/>
          <w:highlight w:val="none"/>
        </w:rPr>
        <w:t>分，得分率为</w:t>
      </w:r>
      <w:r>
        <w:rPr>
          <w:rFonts w:hint="eastAsia" w:hAnsi="宋体"/>
          <w:szCs w:val="28"/>
          <w:highlight w:val="none"/>
          <w:lang w:val="en-US" w:eastAsia="zh-CN"/>
        </w:rPr>
        <w:t>9</w:t>
      </w:r>
      <w:r>
        <w:rPr>
          <w:rFonts w:hint="eastAsia" w:hAnsi="宋体"/>
          <w:szCs w:val="28"/>
          <w:highlight w:val="none"/>
        </w:rPr>
        <w:t>0%。</w:t>
      </w:r>
    </w:p>
    <w:p w14:paraId="6BB0687D">
      <w:pPr>
        <w:ind w:firstLine="562"/>
        <w:rPr>
          <w:rFonts w:hAnsi="宋体"/>
          <w:szCs w:val="28"/>
          <w:highlight w:val="none"/>
        </w:rPr>
      </w:pPr>
      <w:r>
        <w:rPr>
          <w:rFonts w:hint="eastAsia" w:hAnsi="宋体" w:cs="宋体"/>
          <w:b/>
          <w:bCs/>
          <w:kern w:val="0"/>
          <w:szCs w:val="28"/>
          <w:highlight w:val="none"/>
        </w:rPr>
        <w:t>资金使用规范性：</w:t>
      </w:r>
      <w:r>
        <w:rPr>
          <w:rFonts w:hint="eastAsia" w:hAnsi="宋体"/>
          <w:szCs w:val="28"/>
          <w:highlight w:val="none"/>
        </w:rPr>
        <w:t>该指标反映部门资金使用合理规范与否，</w:t>
      </w:r>
      <w:r>
        <w:rPr>
          <w:rFonts w:hint="eastAsia" w:hAnsi="宋体"/>
          <w:szCs w:val="28"/>
          <w:highlight w:val="none"/>
          <w:lang w:eastAsia="zh-CN"/>
        </w:rPr>
        <w:t>2024年</w:t>
      </w:r>
      <w:r>
        <w:rPr>
          <w:rFonts w:hint="eastAsia" w:hAnsi="宋体"/>
          <w:szCs w:val="28"/>
          <w:highlight w:val="none"/>
        </w:rPr>
        <w:t>我院资金支出总体上审批程序合规、手续齐全，支出内容符合省财政预算批复规定的用途，资金支付过程符合我院财务报销流程，全年资金使用规范。指标分值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1.8</w:t>
      </w:r>
      <w:r>
        <w:rPr>
          <w:rFonts w:hint="eastAsia" w:hAnsi="宋体"/>
          <w:szCs w:val="28"/>
          <w:highlight w:val="none"/>
        </w:rPr>
        <w:t>分，得分率为</w:t>
      </w:r>
      <w:r>
        <w:rPr>
          <w:rFonts w:hint="eastAsia" w:hAnsi="宋体"/>
          <w:szCs w:val="28"/>
          <w:highlight w:val="none"/>
          <w:lang w:val="en-US" w:eastAsia="zh-CN"/>
        </w:rPr>
        <w:t>9</w:t>
      </w:r>
      <w:r>
        <w:rPr>
          <w:rFonts w:hint="eastAsia" w:hAnsi="宋体"/>
          <w:szCs w:val="28"/>
          <w:highlight w:val="none"/>
        </w:rPr>
        <w:t>0%。</w:t>
      </w:r>
    </w:p>
    <w:p w14:paraId="5A915651">
      <w:pPr>
        <w:ind w:firstLine="562"/>
        <w:rPr>
          <w:rFonts w:hAnsi="宋体"/>
          <w:szCs w:val="28"/>
          <w:highlight w:val="none"/>
        </w:rPr>
      </w:pPr>
      <w:r>
        <w:rPr>
          <w:rFonts w:hint="eastAsia" w:hAnsi="宋体" w:cs="宋体"/>
          <w:b/>
          <w:bCs/>
          <w:color w:val="000000" w:themeColor="text1"/>
          <w:kern w:val="0"/>
          <w:szCs w:val="28"/>
          <w:highlight w:val="none"/>
          <w14:textFill>
            <w14:solidFill>
              <w14:schemeClr w14:val="tx1"/>
            </w14:solidFill>
          </w14:textFill>
        </w:rPr>
        <w:t>政府采购规范性：</w:t>
      </w:r>
      <w:r>
        <w:rPr>
          <w:rFonts w:hint="eastAsia" w:hAnsi="宋体"/>
          <w:szCs w:val="28"/>
          <w:highlight w:val="none"/>
        </w:rPr>
        <w:t>该指标反映政府采购制度健全性和采购渠道合规性，我院严格落实《政府采购法》及《</w:t>
      </w:r>
      <w:r>
        <w:rPr>
          <w:rFonts w:hint="eastAsia" w:hAnsi="宋体"/>
          <w:szCs w:val="28"/>
          <w:highlight w:val="none"/>
          <w:lang w:eastAsia="zh-CN"/>
        </w:rPr>
        <w:t>渭源县人民检察院</w:t>
      </w:r>
      <w:r>
        <w:rPr>
          <w:rFonts w:hint="eastAsia" w:hAnsi="宋体"/>
          <w:szCs w:val="28"/>
          <w:highlight w:val="none"/>
        </w:rPr>
        <w:t>采购管理制度》，采购实际执行情况与采购计划安排无差异。采购事项严格执行相关标准，采购业务符合政府采购相关规定。指标分值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1.8</w:t>
      </w:r>
      <w:r>
        <w:rPr>
          <w:rFonts w:hint="eastAsia" w:hAnsi="宋体"/>
          <w:szCs w:val="28"/>
          <w:highlight w:val="none"/>
        </w:rPr>
        <w:t>分，得分率为</w:t>
      </w:r>
      <w:r>
        <w:rPr>
          <w:rFonts w:hint="eastAsia" w:hAnsi="宋体"/>
          <w:szCs w:val="28"/>
          <w:highlight w:val="none"/>
          <w:lang w:val="en-US" w:eastAsia="zh-CN"/>
        </w:rPr>
        <w:t>9</w:t>
      </w:r>
      <w:r>
        <w:rPr>
          <w:rFonts w:hint="eastAsia" w:hAnsi="宋体"/>
          <w:szCs w:val="28"/>
          <w:highlight w:val="none"/>
        </w:rPr>
        <w:t>0%。</w:t>
      </w:r>
    </w:p>
    <w:p w14:paraId="506BA0EF">
      <w:pPr>
        <w:pStyle w:val="11"/>
        <w:ind w:firstLine="562"/>
        <w:rPr>
          <w:rFonts w:hAnsi="宋体"/>
          <w:color w:val="00B050"/>
          <w:szCs w:val="28"/>
          <w:highlight w:val="none"/>
        </w:rPr>
      </w:pPr>
      <w:r>
        <w:rPr>
          <w:rFonts w:hint="eastAsia" w:hAnsi="宋体" w:cs="宋体"/>
          <w:b/>
          <w:bCs/>
          <w:kern w:val="0"/>
          <w:szCs w:val="28"/>
          <w:highlight w:val="none"/>
        </w:rPr>
        <w:t>在职人员控制率：</w:t>
      </w:r>
      <w:r>
        <w:rPr>
          <w:rFonts w:hint="eastAsia" w:hAnsi="宋体"/>
          <w:szCs w:val="28"/>
          <w:highlight w:val="none"/>
        </w:rPr>
        <w:t>该指标反映</w:t>
      </w:r>
      <w:r>
        <w:rPr>
          <w:rFonts w:hint="eastAsia" w:hAnsi="宋体"/>
          <w:szCs w:val="28"/>
          <w:highlight w:val="none"/>
          <w:lang w:val="en-US" w:eastAsia="zh-CN"/>
        </w:rPr>
        <w:t>部门决算编制确定的</w:t>
      </w:r>
      <w:r>
        <w:rPr>
          <w:rFonts w:hint="eastAsia" w:hAnsi="宋体"/>
          <w:szCs w:val="28"/>
          <w:highlight w:val="none"/>
        </w:rPr>
        <w:t>在职人员数</w:t>
      </w:r>
      <w:r>
        <w:rPr>
          <w:rFonts w:hint="eastAsia" w:hAnsi="宋体"/>
          <w:szCs w:val="28"/>
          <w:highlight w:val="none"/>
          <w:lang w:val="en-US" w:eastAsia="zh-CN"/>
        </w:rPr>
        <w:t>与</w:t>
      </w:r>
      <w:r>
        <w:rPr>
          <w:rFonts w:hint="eastAsia" w:hAnsi="宋体"/>
          <w:szCs w:val="28"/>
          <w:highlight w:val="none"/>
        </w:rPr>
        <w:t>编制</w:t>
      </w:r>
      <w:r>
        <w:rPr>
          <w:rFonts w:hint="eastAsia" w:hAnsi="宋体"/>
          <w:szCs w:val="28"/>
          <w:highlight w:val="none"/>
          <w:lang w:val="en-US" w:eastAsia="zh-CN"/>
        </w:rPr>
        <w:t>部门核定批复的人员编制数的</w:t>
      </w:r>
      <w:r>
        <w:rPr>
          <w:rFonts w:hint="eastAsia" w:hAnsi="宋体"/>
          <w:szCs w:val="28"/>
          <w:highlight w:val="none"/>
        </w:rPr>
        <w:t>比重。我院现有</w:t>
      </w:r>
      <w:r>
        <w:rPr>
          <w:rFonts w:hint="eastAsia" w:hAnsi="宋体"/>
          <w:szCs w:val="28"/>
          <w:highlight w:val="none"/>
          <w:lang w:val="en-US" w:eastAsia="zh-CN"/>
        </w:rPr>
        <w:t>在职人员27人，渭源县人民检察院现有专项政法编制28人。</w:t>
      </w:r>
      <w:r>
        <w:rPr>
          <w:rFonts w:hint="eastAsia" w:hAnsi="宋体"/>
          <w:szCs w:val="28"/>
          <w:highlight w:val="none"/>
        </w:rPr>
        <w:t>在职人员控制率</w:t>
      </w:r>
      <w:r>
        <w:rPr>
          <w:rFonts w:hint="eastAsia" w:hAnsi="宋体"/>
          <w:szCs w:val="28"/>
          <w:highlight w:val="none"/>
          <w:lang w:val="en-US" w:eastAsia="zh-CN"/>
        </w:rPr>
        <w:t>96.42%</w:t>
      </w:r>
      <w:r>
        <w:rPr>
          <w:rFonts w:hint="eastAsia" w:hAnsi="宋体"/>
          <w:szCs w:val="28"/>
          <w:highlight w:val="none"/>
          <w:lang w:eastAsia="zh-CN"/>
        </w:rPr>
        <w:t>。</w:t>
      </w:r>
      <w:r>
        <w:rPr>
          <w:rFonts w:hint="eastAsia" w:hAnsi="宋体"/>
          <w:szCs w:val="28"/>
          <w:highlight w:val="none"/>
        </w:rPr>
        <w:t>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分，得分率为100%。</w:t>
      </w:r>
    </w:p>
    <w:p w14:paraId="18786E38">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cs="宋体"/>
          <w:b/>
          <w:bCs/>
          <w:kern w:val="0"/>
          <w:szCs w:val="28"/>
          <w:highlight w:val="none"/>
        </w:rPr>
        <w:t>重点工作管理制度健全性：</w:t>
      </w:r>
      <w:r>
        <w:rPr>
          <w:rFonts w:hint="eastAsia" w:hAnsi="宋体"/>
          <w:szCs w:val="28"/>
          <w:highlight w:val="none"/>
        </w:rPr>
        <w:t>该指标反映单位重点工作管理制度是否健全长效。我院针对重点工作，制定了</w:t>
      </w:r>
      <w:r>
        <w:rPr>
          <w:rFonts w:hint="eastAsia" w:hAnsi="宋体"/>
          <w:szCs w:val="28"/>
          <w:highlight w:val="none"/>
          <w:lang w:eastAsia="zh-CN"/>
        </w:rPr>
        <w:t>《渭源县人民检察院案件质量评查</w:t>
      </w:r>
      <w:r>
        <w:rPr>
          <w:rFonts w:hint="eastAsia" w:hAnsi="宋体"/>
          <w:szCs w:val="28"/>
          <w:highlight w:val="none"/>
        </w:rPr>
        <w:t>办法</w:t>
      </w:r>
      <w:r>
        <w:rPr>
          <w:rFonts w:hint="eastAsia" w:hAnsi="宋体"/>
          <w:szCs w:val="28"/>
          <w:highlight w:val="none"/>
          <w:lang w:eastAsia="zh-CN"/>
        </w:rPr>
        <w:t>》《渭源县人民检察院裁判文书签发规定》</w:t>
      </w:r>
      <w:r>
        <w:rPr>
          <w:rFonts w:hint="eastAsia" w:hAnsi="宋体"/>
          <w:szCs w:val="28"/>
          <w:highlight w:val="none"/>
        </w:rPr>
        <w:t>《</w:t>
      </w:r>
      <w:r>
        <w:rPr>
          <w:rFonts w:hint="eastAsia" w:hAnsi="宋体"/>
          <w:szCs w:val="28"/>
          <w:highlight w:val="none"/>
          <w:lang w:eastAsia="zh-CN"/>
        </w:rPr>
        <w:t>渭源县人民检察院</w:t>
      </w:r>
      <w:r>
        <w:rPr>
          <w:rFonts w:hint="eastAsia" w:hAnsi="宋体"/>
          <w:szCs w:val="28"/>
          <w:highlight w:val="none"/>
        </w:rPr>
        <w:t>建设项目管理制度</w:t>
      </w:r>
      <w:r>
        <w:rPr>
          <w:rFonts w:hint="eastAsia" w:hAnsi="宋体"/>
          <w:szCs w:val="28"/>
          <w:highlight w:val="none"/>
          <w:lang w:eastAsia="zh-CN"/>
        </w:rPr>
        <w:t>》等制度，</w:t>
      </w:r>
      <w:r>
        <w:rPr>
          <w:rFonts w:hint="eastAsia" w:hAnsi="宋体"/>
          <w:szCs w:val="28"/>
          <w:highlight w:val="none"/>
        </w:rPr>
        <w:t>重点工作管理制度健全。指标分值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1.8</w:t>
      </w:r>
      <w:r>
        <w:rPr>
          <w:rFonts w:hint="eastAsia" w:hAnsi="宋体"/>
          <w:szCs w:val="28"/>
          <w:highlight w:val="none"/>
        </w:rPr>
        <w:t>分，得分率为</w:t>
      </w:r>
      <w:r>
        <w:rPr>
          <w:rFonts w:hint="eastAsia" w:hAnsi="宋体"/>
          <w:szCs w:val="28"/>
          <w:highlight w:val="none"/>
          <w:lang w:val="en-US" w:eastAsia="zh-CN"/>
        </w:rPr>
        <w:t>9</w:t>
      </w:r>
      <w:r>
        <w:rPr>
          <w:rFonts w:hint="eastAsia" w:hAnsi="宋体"/>
          <w:szCs w:val="28"/>
          <w:highlight w:val="none"/>
        </w:rPr>
        <w:t>0%。</w:t>
      </w:r>
    </w:p>
    <w:p w14:paraId="738B811F">
      <w:pPr>
        <w:ind w:firstLine="562"/>
        <w:rPr>
          <w:rFonts w:hint="eastAsia" w:hAnsi="宋体"/>
          <w:szCs w:val="28"/>
          <w:highlight w:val="none"/>
        </w:rPr>
      </w:pPr>
      <w:r>
        <w:rPr>
          <w:rFonts w:hint="eastAsia" w:hAnsi="宋体" w:cs="宋体"/>
          <w:b/>
          <w:bCs/>
          <w:kern w:val="0"/>
          <w:szCs w:val="28"/>
          <w:highlight w:val="none"/>
        </w:rPr>
        <w:t>资产管理规范性：</w:t>
      </w:r>
      <w:r>
        <w:rPr>
          <w:rFonts w:hint="eastAsia" w:hAnsi="宋体"/>
          <w:szCs w:val="28"/>
          <w:highlight w:val="none"/>
        </w:rPr>
        <w:t>该指标反映资产管理是否规范合理。为加强我院资产管理，明确经济责任，保证资产的安全完整、账实相符，防止固定资产流失，根据有关财经法规，结合我院实际，制定了《</w:t>
      </w:r>
      <w:r>
        <w:rPr>
          <w:rFonts w:hint="eastAsia" w:hAnsi="宋体"/>
          <w:szCs w:val="28"/>
          <w:highlight w:val="none"/>
          <w:lang w:eastAsia="zh-CN"/>
        </w:rPr>
        <w:t>渭源县人民检察院</w:t>
      </w:r>
      <w:r>
        <w:rPr>
          <w:rFonts w:hint="eastAsia" w:hAnsi="宋体"/>
          <w:szCs w:val="28"/>
          <w:highlight w:val="none"/>
        </w:rPr>
        <w:t>固定资产管理制度》，我院认真落实办公用品管理办法、车辆管理办法等具体制度，对资产实施了有效管理，各类资产管理规范、保存完整、使用合规、配置合理。指标分值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1.8</w:t>
      </w:r>
      <w:r>
        <w:rPr>
          <w:rFonts w:hint="eastAsia" w:hAnsi="宋体"/>
          <w:szCs w:val="28"/>
          <w:highlight w:val="none"/>
        </w:rPr>
        <w:t>分，得分率为</w:t>
      </w:r>
      <w:r>
        <w:rPr>
          <w:rFonts w:hint="eastAsia" w:hAnsi="宋体"/>
          <w:szCs w:val="28"/>
          <w:highlight w:val="none"/>
          <w:lang w:val="en-US" w:eastAsia="zh-CN"/>
        </w:rPr>
        <w:t>9</w:t>
      </w:r>
      <w:r>
        <w:rPr>
          <w:rFonts w:hint="eastAsia" w:hAnsi="宋体"/>
          <w:szCs w:val="28"/>
          <w:highlight w:val="none"/>
        </w:rPr>
        <w:t>0%。</w:t>
      </w:r>
    </w:p>
    <w:p w14:paraId="5C2FD6FD">
      <w:pPr>
        <w:pStyle w:val="6"/>
        <w:ind w:firstLine="562"/>
        <w:rPr>
          <w:rFonts w:hint="eastAsia" w:eastAsia="仿宋_GB2312"/>
          <w:highlight w:val="none"/>
          <w:lang w:eastAsia="zh-CN"/>
        </w:rPr>
      </w:pPr>
      <w:r>
        <w:rPr>
          <w:rFonts w:hint="eastAsia"/>
          <w:highlight w:val="none"/>
          <w:lang w:val="en-US" w:eastAsia="zh-CN"/>
        </w:rPr>
        <w:t>3</w:t>
      </w:r>
      <w:r>
        <w:rPr>
          <w:rFonts w:hint="eastAsia"/>
          <w:highlight w:val="none"/>
        </w:rPr>
        <w:t>.</w:t>
      </w:r>
      <w:r>
        <w:rPr>
          <w:rFonts w:hint="eastAsia"/>
          <w:highlight w:val="none"/>
          <w:lang w:val="en-US" w:eastAsia="zh-CN"/>
        </w:rPr>
        <w:t>履职效果</w:t>
      </w:r>
    </w:p>
    <w:p w14:paraId="454A23F3">
      <w:pPr>
        <w:ind w:firstLine="560"/>
        <w:rPr>
          <w:rFonts w:hint="eastAsia" w:hAnsi="宋体"/>
          <w:szCs w:val="28"/>
          <w:highlight w:val="none"/>
        </w:rPr>
      </w:pPr>
      <w:r>
        <w:rPr>
          <w:rFonts w:hint="eastAsia" w:hAnsi="宋体"/>
          <w:szCs w:val="28"/>
          <w:highlight w:val="none"/>
        </w:rPr>
        <w:t>根据《</w:t>
      </w:r>
      <w:r>
        <w:rPr>
          <w:rFonts w:hint="eastAsia" w:hAnsi="宋体"/>
          <w:szCs w:val="28"/>
          <w:highlight w:val="none"/>
          <w:lang w:eastAsia="zh-CN"/>
        </w:rPr>
        <w:t>2024年渭源县人民检察院</w:t>
      </w:r>
      <w:r>
        <w:rPr>
          <w:rFonts w:hint="eastAsia" w:hAnsi="宋体"/>
          <w:szCs w:val="28"/>
          <w:highlight w:val="none"/>
        </w:rPr>
        <w:t>单位整体支出绩效自评表》，一级指标</w:t>
      </w:r>
      <w:r>
        <w:rPr>
          <w:rFonts w:hint="eastAsia" w:hAnsi="宋体"/>
          <w:szCs w:val="28"/>
          <w:highlight w:val="none"/>
          <w:lang w:val="en-US" w:eastAsia="zh-CN"/>
        </w:rPr>
        <w:t>履职效果</w:t>
      </w:r>
      <w:r>
        <w:rPr>
          <w:rFonts w:hint="eastAsia" w:hAnsi="宋体"/>
          <w:szCs w:val="28"/>
          <w:highlight w:val="none"/>
        </w:rPr>
        <w:t>下设</w:t>
      </w:r>
      <w:r>
        <w:rPr>
          <w:rFonts w:hint="eastAsia" w:hAnsi="宋体"/>
          <w:szCs w:val="28"/>
          <w:highlight w:val="none"/>
          <w:lang w:val="en-US" w:eastAsia="zh-CN"/>
        </w:rPr>
        <w:t>20</w:t>
      </w:r>
      <w:r>
        <w:rPr>
          <w:rFonts w:hint="eastAsia" w:hAnsi="宋体"/>
          <w:szCs w:val="28"/>
          <w:highlight w:val="none"/>
        </w:rPr>
        <w:t>个三级指标，指标分值合计</w:t>
      </w:r>
      <w:r>
        <w:rPr>
          <w:rFonts w:hint="eastAsia" w:hAnsi="宋体"/>
          <w:szCs w:val="28"/>
          <w:highlight w:val="none"/>
          <w:lang w:val="en-US" w:eastAsia="zh-CN"/>
        </w:rPr>
        <w:t>60</w:t>
      </w:r>
      <w:r>
        <w:rPr>
          <w:rFonts w:hint="eastAsia" w:hAnsi="宋体"/>
          <w:szCs w:val="28"/>
          <w:highlight w:val="none"/>
        </w:rPr>
        <w:t>分，自评得分</w:t>
      </w:r>
      <w:r>
        <w:rPr>
          <w:rFonts w:hint="eastAsia" w:hAnsi="宋体"/>
          <w:szCs w:val="28"/>
          <w:highlight w:val="none"/>
          <w:lang w:val="en-US" w:eastAsia="zh-CN"/>
        </w:rPr>
        <w:t>58.43</w:t>
      </w:r>
      <w:r>
        <w:rPr>
          <w:rFonts w:hint="eastAsia" w:hAnsi="宋体"/>
          <w:szCs w:val="28"/>
          <w:highlight w:val="none"/>
        </w:rPr>
        <w:t>分，得分率为</w:t>
      </w:r>
      <w:r>
        <w:rPr>
          <w:rFonts w:hint="eastAsia" w:hAnsi="宋体"/>
          <w:szCs w:val="28"/>
          <w:highlight w:val="none"/>
          <w:lang w:val="en-US" w:eastAsia="zh-CN"/>
        </w:rPr>
        <w:t>97.38%</w:t>
      </w:r>
      <w:r>
        <w:rPr>
          <w:rFonts w:hint="eastAsia" w:hAnsi="宋体"/>
          <w:szCs w:val="28"/>
          <w:highlight w:val="none"/>
        </w:rPr>
        <w:t>。</w:t>
      </w:r>
    </w:p>
    <w:tbl>
      <w:tblPr>
        <w:tblStyle w:val="22"/>
        <w:tblW w:w="4998" w:type="pct"/>
        <w:jc w:val="center"/>
        <w:shd w:val="clear" w:color="auto" w:fill="auto"/>
        <w:tblLayout w:type="fixed"/>
        <w:tblCellMar>
          <w:top w:w="0" w:type="dxa"/>
          <w:left w:w="0" w:type="dxa"/>
          <w:bottom w:w="0" w:type="dxa"/>
          <w:right w:w="0" w:type="dxa"/>
        </w:tblCellMar>
      </w:tblPr>
      <w:tblGrid>
        <w:gridCol w:w="2555"/>
        <w:gridCol w:w="1245"/>
        <w:gridCol w:w="1365"/>
        <w:gridCol w:w="855"/>
        <w:gridCol w:w="1020"/>
        <w:gridCol w:w="1293"/>
      </w:tblGrid>
      <w:tr w14:paraId="4B66481E">
        <w:tblPrEx>
          <w:tblCellMar>
            <w:top w:w="0" w:type="dxa"/>
            <w:left w:w="0" w:type="dxa"/>
            <w:bottom w:w="0" w:type="dxa"/>
            <w:right w:w="0" w:type="dxa"/>
          </w:tblCellMar>
        </w:tblPrEx>
        <w:trPr>
          <w:trHeight w:val="559"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12E7D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三级指标</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6D769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年度指标值</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9E7C8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实际完成值</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3A41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68A18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B675B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7AAFF6DC">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B92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538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99B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560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C32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540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944AD4B">
        <w:tblPrEx>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64E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案件办理及时性</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97B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951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3B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1BE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6C8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90.11%</w:t>
            </w:r>
          </w:p>
        </w:tc>
      </w:tr>
      <w:tr w14:paraId="4A61B84B">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0EF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案-件比</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227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在1：1.4以下</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10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97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C8B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459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90.11%</w:t>
            </w:r>
          </w:p>
        </w:tc>
      </w:tr>
      <w:tr w14:paraId="006CF7CA">
        <w:tblPrEx>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DBC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公益诉讼检察工作完成率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B92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1C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5C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A5E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503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C32B331">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F48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刑事执行检察工作完成率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9A1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79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496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94C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506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CD1A2DE">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E3B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民事检察工作完成率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1A7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7A6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D7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4A8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EDE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FDC8C5B">
        <w:tblPrEx>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33A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刑事检察工作完成率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FF9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87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13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E94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C4B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7C33332">
        <w:tblPrEx>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EEF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行政检察工作完成率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780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EA2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94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74C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AFB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07ADE69">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A8D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未成年人检察工作完成率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FA4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81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C96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C02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534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E3876A9">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293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控告申诉检察工作完成率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187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B9B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84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64B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A54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41BBE1D">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F75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3F6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09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C69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954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8C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B171CD5">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079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维修维护工作完成率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F01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47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23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730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D78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8BC4555">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ECE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挽回经济损失效果</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FB1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16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22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C9C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7B8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90.11%</w:t>
            </w:r>
          </w:p>
        </w:tc>
      </w:tr>
      <w:tr w14:paraId="3DA4B86D">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A3B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群众来信回复率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AC2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8A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82A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A93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F97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2505C2B">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E45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打击生态犯罪，维护生态秩序</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8E3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276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37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799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A52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90.11%</w:t>
            </w:r>
          </w:p>
        </w:tc>
      </w:tr>
      <w:tr w14:paraId="4AB04F58">
        <w:tblPrEx>
          <w:shd w:val="clear" w:color="auto" w:fill="auto"/>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A73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量刑建议采纳率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FB0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73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EE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7F5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E4B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C77F7C3">
        <w:tblPrEx>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5E7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检察建议采纳率</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E25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93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9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679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542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729BDB8">
        <w:tblPrEx>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C7E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单位获奖情况</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0A7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F5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94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1FD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893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90.11%</w:t>
            </w:r>
          </w:p>
        </w:tc>
      </w:tr>
      <w:tr w14:paraId="717AB179">
        <w:tblPrEx>
          <w:tblCellMar>
            <w:top w:w="0" w:type="dxa"/>
            <w:left w:w="0" w:type="dxa"/>
            <w:bottom w:w="0" w:type="dxa"/>
            <w:right w:w="0" w:type="dxa"/>
          </w:tblCellMar>
        </w:tblPrEx>
        <w:trPr>
          <w:trHeight w:val="366"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B7F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违纪违法情况</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8A6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BF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0C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075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788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89.85%</w:t>
            </w:r>
          </w:p>
        </w:tc>
      </w:tr>
      <w:tr w14:paraId="69517711">
        <w:tblPrEx>
          <w:tblCellMar>
            <w:top w:w="0" w:type="dxa"/>
            <w:left w:w="0" w:type="dxa"/>
            <w:bottom w:w="0" w:type="dxa"/>
            <w:right w:w="0" w:type="dxa"/>
          </w:tblCellMar>
        </w:tblPrEx>
        <w:trPr>
          <w:trHeight w:val="564" w:hRule="atLeast"/>
          <w:jc w:val="center"/>
        </w:trPr>
        <w:tc>
          <w:tcPr>
            <w:tcW w:w="15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E35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社会公众满意度</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9FB9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C2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74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C81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CC2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CBBB755">
        <w:tblPrEx>
          <w:shd w:val="clear" w:color="auto" w:fill="auto"/>
          <w:tblCellMar>
            <w:top w:w="0" w:type="dxa"/>
            <w:left w:w="0" w:type="dxa"/>
            <w:bottom w:w="0" w:type="dxa"/>
            <w:right w:w="0" w:type="dxa"/>
          </w:tblCellMar>
        </w:tblPrEx>
        <w:trPr>
          <w:trHeight w:val="564" w:hRule="atLeast"/>
          <w:jc w:val="center"/>
        </w:trPr>
        <w:tc>
          <w:tcPr>
            <w:tcW w:w="3099"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4656D1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B72C3B">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60</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BBAA7A5">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58.60</w:t>
            </w:r>
          </w:p>
        </w:tc>
        <w:tc>
          <w:tcPr>
            <w:tcW w:w="7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86D4B5A">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97.38%</w:t>
            </w:r>
          </w:p>
        </w:tc>
      </w:tr>
    </w:tbl>
    <w:p w14:paraId="726354FB">
      <w:pPr>
        <w:pStyle w:val="2"/>
        <w:ind w:left="0" w:leftChars="0" w:firstLine="562" w:firstLineChars="200"/>
        <w:rPr>
          <w:rFonts w:hint="eastAsia" w:ascii="Times New Roman" w:hAnsi="宋体" w:cs="宋体"/>
          <w:b/>
          <w:bCs/>
          <w:kern w:val="0"/>
          <w:szCs w:val="28"/>
          <w:highlight w:val="none"/>
          <w:lang w:val="en-US" w:eastAsia="zh-CN"/>
        </w:rPr>
      </w:pPr>
    </w:p>
    <w:p w14:paraId="45150CDA">
      <w:pPr>
        <w:ind w:firstLine="562"/>
        <w:rPr>
          <w:rFonts w:hint="eastAsia" w:hAnsi="宋体"/>
          <w:szCs w:val="28"/>
          <w:highlight w:val="none"/>
          <w:lang w:val="en-US" w:eastAsia="zh-CN"/>
        </w:rPr>
      </w:pPr>
      <w:r>
        <w:rPr>
          <w:rFonts w:hint="eastAsia" w:hAnsi="宋体"/>
          <w:b/>
          <w:bCs/>
          <w:szCs w:val="28"/>
          <w:highlight w:val="none"/>
          <w:lang w:val="en-US" w:eastAsia="zh-CN"/>
        </w:rPr>
        <w:t>政治工作完成率：</w:t>
      </w:r>
      <w:r>
        <w:rPr>
          <w:rFonts w:hint="eastAsia" w:hAnsi="宋体"/>
          <w:szCs w:val="28"/>
          <w:highlight w:val="none"/>
          <w:lang w:val="en-US" w:eastAsia="zh-CN"/>
        </w:rPr>
        <w:t>衡量检察院政治建设相关工作的完成程度。目标值为100%，实际完成率达到100%，说明我院职工在政治理论学习、党建等政治工作方面落实到位，成效显著。</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455C28F5">
      <w:pPr>
        <w:ind w:firstLine="562"/>
        <w:rPr>
          <w:rFonts w:hint="eastAsia" w:hAnsi="宋体"/>
          <w:szCs w:val="28"/>
          <w:highlight w:val="none"/>
        </w:rPr>
      </w:pPr>
      <w:r>
        <w:rPr>
          <w:rFonts w:hint="eastAsia" w:hAnsi="宋体"/>
          <w:b/>
          <w:bCs/>
          <w:szCs w:val="28"/>
          <w:highlight w:val="none"/>
          <w:lang w:val="en-US" w:eastAsia="zh-CN"/>
        </w:rPr>
        <w:t>案件办理及时性：</w:t>
      </w:r>
      <w:r>
        <w:rPr>
          <w:rFonts w:hint="eastAsia" w:hAnsi="宋体"/>
          <w:szCs w:val="28"/>
          <w:highlight w:val="none"/>
          <w:lang w:val="en-US" w:eastAsia="zh-CN"/>
        </w:rPr>
        <w:t>反映案件在规定时间内完成办理的比例。年度目标值100%，实际完成率90.11%，表明我院大部分案件能及时处理，但仍有进一步提升时效的空间。</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2.37</w:t>
      </w:r>
      <w:r>
        <w:rPr>
          <w:rFonts w:hint="eastAsia" w:hAnsi="宋体"/>
          <w:szCs w:val="28"/>
          <w:highlight w:val="none"/>
        </w:rPr>
        <w:t>分，得分率为</w:t>
      </w:r>
      <w:r>
        <w:rPr>
          <w:rFonts w:hint="eastAsia" w:hAnsi="宋体"/>
          <w:szCs w:val="28"/>
          <w:highlight w:val="none"/>
          <w:lang w:val="en-US" w:eastAsia="zh-CN"/>
        </w:rPr>
        <w:t>90.11</w:t>
      </w:r>
      <w:r>
        <w:rPr>
          <w:rFonts w:hint="eastAsia" w:hAnsi="宋体"/>
          <w:szCs w:val="28"/>
          <w:highlight w:val="none"/>
        </w:rPr>
        <w:t>%。</w:t>
      </w:r>
    </w:p>
    <w:p w14:paraId="463C981A">
      <w:pPr>
        <w:ind w:firstLine="560"/>
        <w:rPr>
          <w:rFonts w:hint="eastAsia" w:hAnsi="宋体"/>
          <w:szCs w:val="28"/>
          <w:highlight w:val="none"/>
          <w:lang w:val="en-US" w:eastAsia="zh-CN"/>
        </w:rPr>
      </w:pPr>
      <w:r>
        <w:rPr>
          <w:rFonts w:hint="eastAsia" w:hAnsi="宋体"/>
          <w:b/>
          <w:bCs/>
          <w:szCs w:val="28"/>
          <w:highlight w:val="none"/>
          <w:lang w:val="en-US" w:eastAsia="zh-CN"/>
        </w:rPr>
        <w:t>案-件比：</w:t>
      </w:r>
      <w:r>
        <w:rPr>
          <w:rFonts w:hint="eastAsia" w:hAnsi="宋体"/>
          <w:szCs w:val="28"/>
          <w:highlight w:val="none"/>
          <w:lang w:val="en-US" w:eastAsia="zh-CN"/>
        </w:rPr>
        <w:t>体现刑事检察办案质效，数值越低质效越高。目标在1：1.4以下且完成率在100%，实际完成率90.11%，显示办案环节精简优化有一定成效。</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2.37</w:t>
      </w:r>
      <w:r>
        <w:rPr>
          <w:rFonts w:hint="eastAsia" w:hAnsi="宋体"/>
          <w:szCs w:val="28"/>
          <w:highlight w:val="none"/>
        </w:rPr>
        <w:t>分，得分率为</w:t>
      </w:r>
      <w:r>
        <w:rPr>
          <w:rFonts w:hint="eastAsia" w:hAnsi="宋体"/>
          <w:szCs w:val="28"/>
          <w:highlight w:val="none"/>
          <w:lang w:val="en-US" w:eastAsia="zh-CN"/>
        </w:rPr>
        <w:t>90.11</w:t>
      </w:r>
      <w:r>
        <w:rPr>
          <w:rFonts w:hint="eastAsia" w:hAnsi="宋体"/>
          <w:szCs w:val="28"/>
          <w:highlight w:val="none"/>
        </w:rPr>
        <w:t>%。</w:t>
      </w:r>
    </w:p>
    <w:p w14:paraId="51117FF5">
      <w:pPr>
        <w:ind w:firstLine="560"/>
        <w:rPr>
          <w:rFonts w:hint="eastAsia" w:hAnsi="宋体"/>
          <w:szCs w:val="28"/>
          <w:highlight w:val="none"/>
          <w:lang w:val="en-US" w:eastAsia="zh-CN"/>
        </w:rPr>
      </w:pPr>
      <w:r>
        <w:rPr>
          <w:rFonts w:hint="eastAsia" w:hAnsi="宋体"/>
          <w:b/>
          <w:bCs/>
          <w:szCs w:val="28"/>
          <w:highlight w:val="none"/>
          <w:lang w:val="en-US" w:eastAsia="zh-CN"/>
        </w:rPr>
        <w:t>公益诉讼检察工作完成率：</w:t>
      </w:r>
      <w:r>
        <w:rPr>
          <w:rFonts w:hint="eastAsia" w:hAnsi="宋体"/>
          <w:szCs w:val="28"/>
          <w:highlight w:val="none"/>
          <w:lang w:val="en-US" w:eastAsia="zh-CN"/>
        </w:rPr>
        <w:t>考核公益诉讼检察工作任务的完成情况。年度指标值100%，实际完成率100%，说明在维护公共利益、生态环境等领域的检察监督工作全面达标。</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04D8442F">
      <w:pPr>
        <w:ind w:firstLine="560"/>
        <w:rPr>
          <w:rFonts w:hint="eastAsia" w:hAnsi="宋体"/>
          <w:szCs w:val="28"/>
          <w:highlight w:val="none"/>
          <w:lang w:val="en-US" w:eastAsia="zh-CN"/>
        </w:rPr>
      </w:pPr>
      <w:r>
        <w:rPr>
          <w:rFonts w:hint="eastAsia" w:hAnsi="宋体"/>
          <w:b/>
          <w:bCs/>
          <w:szCs w:val="28"/>
          <w:highlight w:val="none"/>
          <w:lang w:val="en-US" w:eastAsia="zh-CN"/>
        </w:rPr>
        <w:t>刑事执行检察工作完成率：</w:t>
      </w:r>
      <w:r>
        <w:rPr>
          <w:rFonts w:hint="eastAsia" w:hAnsi="宋体"/>
          <w:szCs w:val="28"/>
          <w:highlight w:val="none"/>
          <w:lang w:val="en-US" w:eastAsia="zh-CN"/>
        </w:rPr>
        <w:t>用于评估对刑事执行活动监督工作的完成程度。年度指标值为100%，实际完成率达100%，意味着对监狱、社区矫正等刑事执行环节的监督工作有效开展。</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2D7B4528">
      <w:pPr>
        <w:ind w:firstLine="560"/>
        <w:rPr>
          <w:rFonts w:hint="eastAsia" w:hAnsi="宋体"/>
          <w:szCs w:val="28"/>
          <w:highlight w:val="none"/>
          <w:lang w:val="en-US" w:eastAsia="zh-CN"/>
        </w:rPr>
      </w:pPr>
      <w:r>
        <w:rPr>
          <w:rFonts w:hint="eastAsia" w:hAnsi="宋体"/>
          <w:b/>
          <w:bCs/>
          <w:szCs w:val="28"/>
          <w:highlight w:val="none"/>
          <w:lang w:val="en-US" w:eastAsia="zh-CN"/>
        </w:rPr>
        <w:t>民事检察工作完成率：</w:t>
      </w:r>
      <w:r>
        <w:rPr>
          <w:rFonts w:hint="eastAsia" w:hAnsi="宋体"/>
          <w:szCs w:val="28"/>
          <w:highlight w:val="none"/>
          <w:lang w:val="en-US" w:eastAsia="zh-CN"/>
        </w:rPr>
        <w:t>衡量民事检察业务工作的完成情况。目标值100%，实际完成率98%，表明在民事案件监督、支持起诉等方面整体表现良好。</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1C5676EA">
      <w:pPr>
        <w:ind w:firstLine="560"/>
        <w:rPr>
          <w:rFonts w:hint="eastAsia" w:hAnsi="宋体"/>
          <w:szCs w:val="28"/>
          <w:highlight w:val="none"/>
          <w:lang w:val="en-US" w:eastAsia="zh-CN"/>
        </w:rPr>
      </w:pPr>
      <w:r>
        <w:rPr>
          <w:rFonts w:hint="eastAsia" w:hAnsi="宋体"/>
          <w:b/>
          <w:bCs/>
          <w:szCs w:val="28"/>
          <w:highlight w:val="none"/>
          <w:lang w:val="en-US" w:eastAsia="zh-CN"/>
        </w:rPr>
        <w:t>刑事检察工作完成率：</w:t>
      </w:r>
      <w:r>
        <w:rPr>
          <w:rFonts w:hint="eastAsia" w:hAnsi="宋体"/>
          <w:szCs w:val="28"/>
          <w:highlight w:val="none"/>
          <w:lang w:val="en-US" w:eastAsia="zh-CN"/>
        </w:rPr>
        <w:t>考核刑事检察职能履行的完成度。年度指标值100%，实际完成率100%，说明在审查逮捕、审查起诉等刑事检察核心工作上落实到位。</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7252C96D">
      <w:pPr>
        <w:ind w:firstLine="560"/>
        <w:rPr>
          <w:rFonts w:hint="eastAsia" w:hAnsi="宋体"/>
          <w:szCs w:val="28"/>
          <w:highlight w:val="none"/>
          <w:lang w:val="en-US" w:eastAsia="zh-CN"/>
        </w:rPr>
      </w:pPr>
      <w:r>
        <w:rPr>
          <w:rFonts w:hint="eastAsia" w:hAnsi="宋体"/>
          <w:b/>
          <w:bCs/>
          <w:szCs w:val="28"/>
          <w:highlight w:val="none"/>
          <w:lang w:val="en-US" w:eastAsia="zh-CN"/>
        </w:rPr>
        <w:t>行政检察工作完成率：</w:t>
      </w:r>
      <w:r>
        <w:rPr>
          <w:rFonts w:hint="eastAsia" w:hAnsi="宋体"/>
          <w:szCs w:val="28"/>
          <w:highlight w:val="none"/>
          <w:lang w:val="en-US" w:eastAsia="zh-CN"/>
        </w:rPr>
        <w:t>评估行政检察工作任务的执行情况。年度指标值100%，实际完成率100%，体现了对行政诉讼、行政执法等环节的检察监督工作圆满完成。</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3685F5DC">
      <w:pPr>
        <w:ind w:firstLine="560"/>
        <w:rPr>
          <w:rFonts w:hint="eastAsia" w:hAnsi="宋体"/>
          <w:szCs w:val="28"/>
          <w:highlight w:val="none"/>
          <w:lang w:val="en-US" w:eastAsia="zh-CN"/>
        </w:rPr>
      </w:pPr>
      <w:r>
        <w:rPr>
          <w:rFonts w:hint="eastAsia" w:hAnsi="宋体"/>
          <w:b/>
          <w:bCs/>
          <w:szCs w:val="28"/>
          <w:highlight w:val="none"/>
          <w:lang w:val="en-US" w:eastAsia="zh-CN"/>
        </w:rPr>
        <w:t>未成年人检察工作完成率：</w:t>
      </w:r>
      <w:r>
        <w:rPr>
          <w:rFonts w:hint="eastAsia" w:hAnsi="宋体"/>
          <w:szCs w:val="28"/>
          <w:highlight w:val="none"/>
          <w:lang w:val="en-US" w:eastAsia="zh-CN"/>
        </w:rPr>
        <w:t>反映未成年人检察工作的推进情况。年度指标值为100%，实际完成率100%，表明在未成年人权益保护、犯罪预防等工作上达到预期。</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0CE01C20">
      <w:pPr>
        <w:ind w:firstLine="560"/>
        <w:rPr>
          <w:rFonts w:hint="eastAsia" w:hAnsi="宋体"/>
          <w:szCs w:val="28"/>
          <w:highlight w:val="none"/>
          <w:lang w:val="en-US" w:eastAsia="zh-CN"/>
        </w:rPr>
      </w:pPr>
      <w:r>
        <w:rPr>
          <w:rFonts w:hint="eastAsia" w:hAnsi="宋体"/>
          <w:b/>
          <w:bCs/>
          <w:szCs w:val="28"/>
          <w:highlight w:val="none"/>
          <w:lang w:val="en-US" w:eastAsia="zh-CN"/>
        </w:rPr>
        <w:t>控告申诉检察工作完成率：</w:t>
      </w:r>
      <w:r>
        <w:rPr>
          <w:rFonts w:hint="eastAsia" w:hAnsi="宋体"/>
          <w:szCs w:val="28"/>
          <w:highlight w:val="none"/>
          <w:lang w:val="en-US" w:eastAsia="zh-CN"/>
        </w:rPr>
        <w:t>考核控告申诉检察业务的完成程度。年度指标值100%，实际完成率100%，说明畅通群众诉求渠道，处理控告申诉案件的工作顺利开展。</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0B8DB090">
      <w:pPr>
        <w:ind w:firstLine="560"/>
        <w:rPr>
          <w:rFonts w:hint="eastAsia" w:hAnsi="宋体"/>
          <w:szCs w:val="28"/>
          <w:highlight w:val="none"/>
          <w:lang w:val="en-US" w:eastAsia="zh-CN"/>
        </w:rPr>
      </w:pPr>
      <w:r>
        <w:rPr>
          <w:rFonts w:hint="eastAsia" w:hAnsi="宋体"/>
          <w:b/>
          <w:bCs/>
          <w:szCs w:val="28"/>
          <w:highlight w:val="none"/>
          <w:lang w:val="en-US" w:eastAsia="zh-CN"/>
        </w:rPr>
        <w:t>采购工作完成率：</w:t>
      </w:r>
      <w:r>
        <w:rPr>
          <w:rFonts w:hint="eastAsia" w:hAnsi="宋体"/>
          <w:szCs w:val="28"/>
          <w:highlight w:val="none"/>
          <w:lang w:val="en-US" w:eastAsia="zh-CN"/>
        </w:rPr>
        <w:t>衡量检察院采购任务的完成情况。年度指标值100%，实际完成率100%，保障了物资、服务采购等工作按计划完成。</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47293563">
      <w:pPr>
        <w:ind w:firstLine="560"/>
        <w:rPr>
          <w:rFonts w:hint="eastAsia" w:hAnsi="宋体"/>
          <w:szCs w:val="28"/>
          <w:highlight w:val="none"/>
          <w:lang w:val="en-US" w:eastAsia="zh-CN"/>
        </w:rPr>
      </w:pPr>
      <w:r>
        <w:rPr>
          <w:rFonts w:hint="eastAsia" w:hAnsi="宋体"/>
          <w:b/>
          <w:bCs/>
          <w:szCs w:val="28"/>
          <w:highlight w:val="none"/>
          <w:lang w:val="en-US" w:eastAsia="zh-CN"/>
        </w:rPr>
        <w:t>维修维护工作完成率：</w:t>
      </w:r>
      <w:r>
        <w:rPr>
          <w:rFonts w:hint="eastAsia" w:hAnsi="宋体"/>
          <w:szCs w:val="28"/>
          <w:highlight w:val="none"/>
          <w:lang w:val="en-US" w:eastAsia="zh-CN"/>
        </w:rPr>
        <w:t>评估检察院设施设备等维修维护任务的完成情况。年度指标值100%，实际完成率100%，确保了办公环境和设备的正常运行。</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23B2AD36">
      <w:pPr>
        <w:ind w:firstLine="560"/>
        <w:rPr>
          <w:rFonts w:hint="eastAsia" w:hAnsi="宋体"/>
          <w:szCs w:val="28"/>
          <w:highlight w:val="none"/>
          <w:lang w:val="en-US" w:eastAsia="zh-CN"/>
        </w:rPr>
      </w:pPr>
      <w:r>
        <w:rPr>
          <w:rFonts w:hint="eastAsia" w:hAnsi="宋体"/>
          <w:b/>
          <w:bCs/>
          <w:szCs w:val="28"/>
          <w:highlight w:val="none"/>
          <w:lang w:val="en-US" w:eastAsia="zh-CN"/>
        </w:rPr>
        <w:t>挽回经济损失效果：</w:t>
      </w:r>
      <w:r>
        <w:rPr>
          <w:rFonts w:hint="eastAsia" w:hAnsi="宋体"/>
          <w:szCs w:val="28"/>
          <w:highlight w:val="none"/>
          <w:lang w:val="en-US" w:eastAsia="zh-CN"/>
        </w:rPr>
        <w:t>体现通过检察工作挽回经济损失的成效。目标要求完成率在100%，实际完成率90.11%，在追赃挽损方面取得一定成果。</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2.37</w:t>
      </w:r>
      <w:r>
        <w:rPr>
          <w:rFonts w:hint="eastAsia" w:hAnsi="宋体"/>
          <w:szCs w:val="28"/>
          <w:highlight w:val="none"/>
        </w:rPr>
        <w:t>分，得分率为</w:t>
      </w:r>
      <w:r>
        <w:rPr>
          <w:rFonts w:hint="eastAsia" w:hAnsi="宋体"/>
          <w:szCs w:val="28"/>
          <w:highlight w:val="none"/>
          <w:lang w:val="en-US" w:eastAsia="zh-CN"/>
        </w:rPr>
        <w:t>90.11</w:t>
      </w:r>
      <w:r>
        <w:rPr>
          <w:rFonts w:hint="eastAsia" w:hAnsi="宋体"/>
          <w:szCs w:val="28"/>
          <w:highlight w:val="none"/>
        </w:rPr>
        <w:t>%。</w:t>
      </w:r>
    </w:p>
    <w:p w14:paraId="3A6D014E">
      <w:pPr>
        <w:ind w:firstLine="560"/>
        <w:rPr>
          <w:rFonts w:hint="eastAsia" w:hAnsi="宋体"/>
          <w:szCs w:val="28"/>
          <w:highlight w:val="none"/>
          <w:lang w:val="en-US" w:eastAsia="zh-CN"/>
        </w:rPr>
      </w:pPr>
      <w:r>
        <w:rPr>
          <w:rFonts w:hint="eastAsia" w:hAnsi="宋体"/>
          <w:b/>
          <w:bCs/>
          <w:szCs w:val="28"/>
          <w:highlight w:val="none"/>
          <w:lang w:val="en-US" w:eastAsia="zh-CN"/>
        </w:rPr>
        <w:t>群众来信回复率：</w:t>
      </w:r>
      <w:r>
        <w:rPr>
          <w:rFonts w:hint="eastAsia" w:hAnsi="宋体"/>
          <w:szCs w:val="28"/>
          <w:highlight w:val="none"/>
          <w:lang w:val="en-US" w:eastAsia="zh-CN"/>
        </w:rPr>
        <w:t>反映对群众来信的处理和反馈情况。年度指标值100%，实际完成率100%，说明重视群众意见，及时回应群众诉求。</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3CF73C6E">
      <w:pPr>
        <w:ind w:firstLine="560"/>
        <w:rPr>
          <w:rFonts w:hint="eastAsia" w:hAnsi="宋体"/>
          <w:szCs w:val="28"/>
          <w:highlight w:val="none"/>
          <w:lang w:val="en-US" w:eastAsia="zh-CN"/>
        </w:rPr>
      </w:pPr>
      <w:r>
        <w:rPr>
          <w:rFonts w:hint="eastAsia" w:hAnsi="宋体"/>
          <w:b/>
          <w:bCs/>
          <w:szCs w:val="28"/>
          <w:highlight w:val="none"/>
          <w:lang w:val="en-US" w:eastAsia="zh-CN"/>
        </w:rPr>
        <w:t>打击生态犯罪，维护生态效果：</w:t>
      </w:r>
      <w:r>
        <w:rPr>
          <w:rFonts w:hint="eastAsia" w:hAnsi="宋体"/>
          <w:szCs w:val="28"/>
          <w:highlight w:val="none"/>
          <w:lang w:val="en-US" w:eastAsia="zh-CN"/>
        </w:rPr>
        <w:t>考核打击破坏生态环境犯罪及维护生态环境的工作成效。年度指标值100%，实际完成率90.11%，表明在生态司法保护上有积极作为。</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2.37</w:t>
      </w:r>
      <w:r>
        <w:rPr>
          <w:rFonts w:hint="eastAsia" w:hAnsi="宋体"/>
          <w:szCs w:val="28"/>
          <w:highlight w:val="none"/>
        </w:rPr>
        <w:t>分，得分率为</w:t>
      </w:r>
      <w:r>
        <w:rPr>
          <w:rFonts w:hint="eastAsia" w:hAnsi="宋体"/>
          <w:szCs w:val="28"/>
          <w:highlight w:val="none"/>
          <w:lang w:val="en-US" w:eastAsia="zh-CN"/>
        </w:rPr>
        <w:t>90.11</w:t>
      </w:r>
      <w:r>
        <w:rPr>
          <w:rFonts w:hint="eastAsia" w:hAnsi="宋体"/>
          <w:szCs w:val="28"/>
          <w:highlight w:val="none"/>
        </w:rPr>
        <w:t>%。</w:t>
      </w:r>
    </w:p>
    <w:p w14:paraId="4ECD9792">
      <w:pPr>
        <w:ind w:firstLine="560"/>
        <w:rPr>
          <w:rFonts w:hint="eastAsia" w:hAnsi="宋体"/>
          <w:szCs w:val="28"/>
          <w:highlight w:val="none"/>
          <w:lang w:val="en-US" w:eastAsia="zh-CN"/>
        </w:rPr>
      </w:pPr>
      <w:r>
        <w:rPr>
          <w:rFonts w:hint="eastAsia" w:hAnsi="宋体"/>
          <w:b/>
          <w:bCs/>
          <w:szCs w:val="28"/>
          <w:highlight w:val="none"/>
          <w:lang w:val="en-US" w:eastAsia="zh-CN"/>
        </w:rPr>
        <w:t>量刑建议采纳率：</w:t>
      </w:r>
      <w:r>
        <w:rPr>
          <w:rFonts w:hint="eastAsia" w:hAnsi="宋体"/>
          <w:szCs w:val="28"/>
          <w:highlight w:val="none"/>
          <w:lang w:val="en-US" w:eastAsia="zh-CN"/>
        </w:rPr>
        <w:t>衡量检察机关提出的量刑建议被法院采纳的比例。年度指标值大于90%，实际95%，说明量刑建议质量较高，有助于司法公正与精准量刑。</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3440958F">
      <w:pPr>
        <w:ind w:firstLine="560"/>
        <w:rPr>
          <w:rFonts w:hint="eastAsia" w:hAnsi="宋体"/>
          <w:szCs w:val="28"/>
          <w:highlight w:val="none"/>
          <w:lang w:val="en-US" w:eastAsia="zh-CN"/>
        </w:rPr>
      </w:pPr>
      <w:r>
        <w:rPr>
          <w:rFonts w:hint="eastAsia" w:hAnsi="宋体"/>
          <w:b/>
          <w:bCs/>
          <w:szCs w:val="28"/>
          <w:highlight w:val="none"/>
          <w:lang w:val="en-US" w:eastAsia="zh-CN"/>
        </w:rPr>
        <w:t>检察建议采纳率：</w:t>
      </w:r>
      <w:r>
        <w:rPr>
          <w:rFonts w:hint="eastAsia" w:hAnsi="宋体"/>
          <w:szCs w:val="28"/>
          <w:highlight w:val="none"/>
          <w:lang w:val="en-US" w:eastAsia="zh-CN"/>
        </w:rPr>
        <w:t>评估检察建议被相关单位接受和落实的情况。目标大于90%，实际96%，表明检察建议对促进相关单位规范管理、改进工作发挥了有效作用。</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768712D5">
      <w:pPr>
        <w:ind w:firstLine="560"/>
        <w:rPr>
          <w:rFonts w:hint="eastAsia" w:hAnsi="宋体"/>
          <w:szCs w:val="28"/>
          <w:highlight w:val="none"/>
          <w:lang w:val="en-US" w:eastAsia="zh-CN"/>
        </w:rPr>
      </w:pPr>
      <w:r>
        <w:rPr>
          <w:rFonts w:hint="eastAsia" w:hAnsi="宋体"/>
          <w:b/>
          <w:bCs/>
          <w:szCs w:val="28"/>
          <w:highlight w:val="none"/>
          <w:lang w:val="en-US" w:eastAsia="zh-CN"/>
        </w:rPr>
        <w:t>单位获奖情况：</w:t>
      </w:r>
      <w:r>
        <w:rPr>
          <w:rFonts w:hint="eastAsia" w:hAnsi="宋体"/>
          <w:szCs w:val="28"/>
          <w:highlight w:val="none"/>
          <w:lang w:val="en-US" w:eastAsia="zh-CN"/>
        </w:rPr>
        <w:t>体现检察院在一定时期内获得荣誉的情况。年度指标值100%，实际完成率90.11%，反映出整体工作得到一定认可。</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2.37</w:t>
      </w:r>
      <w:r>
        <w:rPr>
          <w:rFonts w:hint="eastAsia" w:hAnsi="宋体"/>
          <w:szCs w:val="28"/>
          <w:highlight w:val="none"/>
        </w:rPr>
        <w:t>分，得分率为</w:t>
      </w:r>
      <w:r>
        <w:rPr>
          <w:rFonts w:hint="eastAsia" w:hAnsi="宋体"/>
          <w:szCs w:val="28"/>
          <w:highlight w:val="none"/>
          <w:lang w:val="en-US" w:eastAsia="zh-CN"/>
        </w:rPr>
        <w:t>90.11</w:t>
      </w:r>
      <w:r>
        <w:rPr>
          <w:rFonts w:hint="eastAsia" w:hAnsi="宋体"/>
          <w:szCs w:val="28"/>
          <w:highlight w:val="none"/>
        </w:rPr>
        <w:t>%。</w:t>
      </w:r>
    </w:p>
    <w:p w14:paraId="4151FC70">
      <w:pPr>
        <w:ind w:firstLine="560"/>
        <w:rPr>
          <w:rFonts w:hint="eastAsia" w:hAnsi="宋体"/>
          <w:szCs w:val="28"/>
          <w:highlight w:val="none"/>
          <w:lang w:val="en-US" w:eastAsia="zh-CN"/>
        </w:rPr>
      </w:pPr>
      <w:r>
        <w:rPr>
          <w:rFonts w:hint="eastAsia" w:hAnsi="宋体"/>
          <w:b/>
          <w:bCs/>
          <w:szCs w:val="28"/>
          <w:highlight w:val="none"/>
          <w:lang w:val="en-US" w:eastAsia="zh-CN"/>
        </w:rPr>
        <w:t>违纪违规情况：</w:t>
      </w:r>
      <w:r>
        <w:rPr>
          <w:rFonts w:hint="eastAsia" w:hAnsi="宋体"/>
          <w:szCs w:val="28"/>
          <w:highlight w:val="none"/>
          <w:lang w:val="en-US" w:eastAsia="zh-CN"/>
        </w:rPr>
        <w:t>考核检察院工作人员遵守纪律和规章制度的情况。年度指标值100%，实际89.85%，虽接近目标，但仍需加强队伍纪律建设。</w:t>
      </w:r>
      <w:r>
        <w:rPr>
          <w:rFonts w:hint="eastAsia" w:hAnsi="宋体"/>
          <w:szCs w:val="28"/>
          <w:highlight w:val="none"/>
        </w:rPr>
        <w:t>指标分值</w:t>
      </w:r>
      <w:r>
        <w:rPr>
          <w:rFonts w:hint="eastAsia" w:hAnsi="宋体"/>
          <w:szCs w:val="28"/>
          <w:highlight w:val="none"/>
          <w:lang w:val="en-US" w:eastAsia="zh-CN"/>
        </w:rPr>
        <w:t>2.63</w:t>
      </w:r>
      <w:r>
        <w:rPr>
          <w:rFonts w:hint="eastAsia" w:hAnsi="宋体"/>
          <w:szCs w:val="28"/>
          <w:highlight w:val="none"/>
        </w:rPr>
        <w:t>分，自评得分</w:t>
      </w:r>
      <w:r>
        <w:rPr>
          <w:rFonts w:hint="eastAsia" w:hAnsi="宋体"/>
          <w:szCs w:val="28"/>
          <w:highlight w:val="none"/>
          <w:lang w:val="en-US" w:eastAsia="zh-CN"/>
        </w:rPr>
        <w:t>2.63</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5F057C10">
      <w:pPr>
        <w:ind w:firstLine="560"/>
        <w:rPr>
          <w:rFonts w:hint="eastAsia" w:hAnsi="宋体" w:eastAsia="仿宋_GB2312"/>
          <w:szCs w:val="28"/>
          <w:highlight w:val="none"/>
          <w:lang w:val="en-US" w:eastAsia="zh-CN"/>
        </w:rPr>
      </w:pPr>
      <w:r>
        <w:rPr>
          <w:rFonts w:hint="eastAsia" w:hAnsi="宋体"/>
          <w:b/>
          <w:bCs/>
          <w:szCs w:val="28"/>
          <w:highlight w:val="none"/>
          <w:lang w:val="en-US" w:eastAsia="zh-CN"/>
        </w:rPr>
        <w:t>社会公众满意度：</w:t>
      </w:r>
      <w:r>
        <w:rPr>
          <w:rFonts w:hint="eastAsia" w:hAnsi="宋体"/>
          <w:szCs w:val="28"/>
          <w:highlight w:val="none"/>
          <w:lang w:val="en-US" w:eastAsia="zh-CN"/>
        </w:rPr>
        <w:t>反映社会公众对检察院工作的满意程度。年度指标值大于90%，实际96%，表明检察院工作获得了较高的社会评价。</w:t>
      </w:r>
      <w:r>
        <w:rPr>
          <w:rFonts w:hint="eastAsia" w:hAnsi="宋体"/>
          <w:szCs w:val="28"/>
          <w:highlight w:val="none"/>
        </w:rPr>
        <w:t>指标分值</w:t>
      </w:r>
      <w:r>
        <w:rPr>
          <w:rFonts w:hint="eastAsia" w:hAnsi="宋体"/>
          <w:szCs w:val="28"/>
          <w:highlight w:val="none"/>
          <w:lang w:val="en-US" w:eastAsia="zh-CN"/>
        </w:rPr>
        <w:t>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w:t>
      </w:r>
      <w:r>
        <w:rPr>
          <w:rFonts w:hint="eastAsia" w:hAnsi="宋体"/>
          <w:szCs w:val="28"/>
          <w:highlight w:val="none"/>
          <w:lang w:val="en-US" w:eastAsia="zh-CN"/>
        </w:rPr>
        <w:t>10</w:t>
      </w:r>
      <w:r>
        <w:rPr>
          <w:rFonts w:hint="eastAsia" w:hAnsi="宋体"/>
          <w:szCs w:val="28"/>
          <w:highlight w:val="none"/>
        </w:rPr>
        <w:t>0%。</w:t>
      </w:r>
    </w:p>
    <w:p w14:paraId="5C8959DA">
      <w:pPr>
        <w:pStyle w:val="6"/>
        <w:ind w:firstLine="562"/>
        <w:rPr>
          <w:rFonts w:hint="eastAsia" w:eastAsia="仿宋_GB2312"/>
          <w:highlight w:val="none"/>
          <w:lang w:eastAsia="zh-CN"/>
        </w:rPr>
      </w:pPr>
      <w:r>
        <w:rPr>
          <w:rFonts w:hint="eastAsia"/>
          <w:highlight w:val="none"/>
          <w:lang w:val="en-US" w:eastAsia="zh-CN"/>
        </w:rPr>
        <w:t>4</w:t>
      </w:r>
      <w:r>
        <w:rPr>
          <w:rFonts w:hint="eastAsia"/>
          <w:highlight w:val="none"/>
        </w:rPr>
        <w:t>.</w:t>
      </w:r>
      <w:r>
        <w:rPr>
          <w:rFonts w:hint="eastAsia"/>
          <w:highlight w:val="none"/>
          <w:lang w:val="en-US" w:eastAsia="zh-CN"/>
        </w:rPr>
        <w:t>能力建设</w:t>
      </w:r>
    </w:p>
    <w:p w14:paraId="5AC92BEB">
      <w:pPr>
        <w:ind w:firstLine="560"/>
        <w:rPr>
          <w:rFonts w:hint="eastAsia" w:hAnsi="宋体"/>
          <w:szCs w:val="28"/>
          <w:highlight w:val="none"/>
        </w:rPr>
      </w:pPr>
      <w:r>
        <w:rPr>
          <w:rFonts w:hint="eastAsia" w:hAnsi="宋体"/>
          <w:szCs w:val="28"/>
          <w:highlight w:val="none"/>
        </w:rPr>
        <w:t>根据《</w:t>
      </w:r>
      <w:r>
        <w:rPr>
          <w:rFonts w:hint="eastAsia" w:hAnsi="宋体"/>
          <w:szCs w:val="28"/>
          <w:highlight w:val="none"/>
          <w:lang w:eastAsia="zh-CN"/>
        </w:rPr>
        <w:t>2024年渭源县人民检察院</w:t>
      </w:r>
      <w:r>
        <w:rPr>
          <w:rFonts w:hint="eastAsia" w:hAnsi="宋体"/>
          <w:szCs w:val="28"/>
          <w:highlight w:val="none"/>
        </w:rPr>
        <w:t>单位整体支出绩效自评表》，一级指标</w:t>
      </w:r>
      <w:r>
        <w:rPr>
          <w:rFonts w:hint="eastAsia" w:hAnsi="宋体"/>
          <w:szCs w:val="28"/>
          <w:highlight w:val="none"/>
          <w:lang w:val="en-US" w:eastAsia="zh-CN"/>
        </w:rPr>
        <w:t>履职效果</w:t>
      </w:r>
      <w:r>
        <w:rPr>
          <w:rFonts w:hint="eastAsia" w:hAnsi="宋体"/>
          <w:szCs w:val="28"/>
          <w:highlight w:val="none"/>
        </w:rPr>
        <w:t>下设</w:t>
      </w:r>
      <w:r>
        <w:rPr>
          <w:rFonts w:hint="eastAsia" w:hAnsi="宋体"/>
          <w:szCs w:val="28"/>
          <w:highlight w:val="none"/>
          <w:lang w:val="en-US" w:eastAsia="zh-CN"/>
        </w:rPr>
        <w:t>3</w:t>
      </w:r>
      <w:r>
        <w:rPr>
          <w:rFonts w:hint="eastAsia" w:hAnsi="宋体"/>
          <w:szCs w:val="28"/>
          <w:highlight w:val="none"/>
        </w:rPr>
        <w:t>个三级指标，指标分值合计</w:t>
      </w:r>
      <w:r>
        <w:rPr>
          <w:rFonts w:hint="eastAsia" w:hAnsi="宋体"/>
          <w:szCs w:val="28"/>
          <w:highlight w:val="none"/>
          <w:lang w:val="en-US" w:eastAsia="zh-CN"/>
        </w:rPr>
        <w:t>10</w:t>
      </w:r>
      <w:r>
        <w:rPr>
          <w:rFonts w:hint="eastAsia" w:hAnsi="宋体"/>
          <w:szCs w:val="28"/>
          <w:highlight w:val="none"/>
        </w:rPr>
        <w:t>分，自评得分</w:t>
      </w:r>
      <w:r>
        <w:rPr>
          <w:rFonts w:hint="eastAsia" w:hAnsi="宋体"/>
          <w:szCs w:val="28"/>
          <w:highlight w:val="none"/>
          <w:lang w:val="en-US" w:eastAsia="zh-CN"/>
        </w:rPr>
        <w:t>9.01</w:t>
      </w:r>
      <w:r>
        <w:rPr>
          <w:rFonts w:hint="eastAsia" w:hAnsi="宋体"/>
          <w:szCs w:val="28"/>
          <w:highlight w:val="none"/>
        </w:rPr>
        <w:t>分，得分率为</w:t>
      </w:r>
      <w:r>
        <w:rPr>
          <w:rFonts w:hint="eastAsia" w:hAnsi="宋体"/>
          <w:szCs w:val="28"/>
          <w:highlight w:val="none"/>
          <w:lang w:val="en-US" w:eastAsia="zh-CN"/>
        </w:rPr>
        <w:t>90.10%</w:t>
      </w:r>
      <w:r>
        <w:rPr>
          <w:rFonts w:hint="eastAsia" w:hAnsi="宋体"/>
          <w:szCs w:val="28"/>
          <w:highlight w:val="none"/>
        </w:rPr>
        <w:t>。</w:t>
      </w:r>
    </w:p>
    <w:tbl>
      <w:tblPr>
        <w:tblStyle w:val="22"/>
        <w:tblW w:w="4998" w:type="pct"/>
        <w:jc w:val="center"/>
        <w:shd w:val="clear" w:color="auto" w:fill="auto"/>
        <w:tblLayout w:type="fixed"/>
        <w:tblCellMar>
          <w:top w:w="0" w:type="dxa"/>
          <w:left w:w="0" w:type="dxa"/>
          <w:bottom w:w="0" w:type="dxa"/>
          <w:right w:w="0" w:type="dxa"/>
        </w:tblCellMar>
      </w:tblPr>
      <w:tblGrid>
        <w:gridCol w:w="2082"/>
        <w:gridCol w:w="1190"/>
        <w:gridCol w:w="1790"/>
        <w:gridCol w:w="794"/>
        <w:gridCol w:w="974"/>
        <w:gridCol w:w="1503"/>
      </w:tblGrid>
      <w:tr w14:paraId="62A658B9">
        <w:tblPrEx>
          <w:shd w:val="clear" w:color="auto" w:fill="auto"/>
          <w:tblCellMar>
            <w:top w:w="0" w:type="dxa"/>
            <w:left w:w="0" w:type="dxa"/>
            <w:bottom w:w="0" w:type="dxa"/>
            <w:right w:w="0" w:type="dxa"/>
          </w:tblCellMar>
        </w:tblPrEx>
        <w:trPr>
          <w:trHeight w:val="55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975B6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三级指标</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D7C3A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年度指标值</w:t>
            </w:r>
          </w:p>
        </w:tc>
        <w:tc>
          <w:tcPr>
            <w:tcW w:w="10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BD8A0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实际完成值</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4344E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DE553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w:t>
            </w:r>
          </w:p>
        </w:tc>
        <w:tc>
          <w:tcPr>
            <w:tcW w:w="9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9E50F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5EA4488B">
        <w:tblPrEx>
          <w:shd w:val="clear" w:color="auto" w:fill="auto"/>
          <w:tblCellMar>
            <w:top w:w="0" w:type="dxa"/>
            <w:left w:w="0" w:type="dxa"/>
            <w:bottom w:w="0" w:type="dxa"/>
            <w:right w:w="0" w:type="dxa"/>
          </w:tblCellMar>
        </w:tblPrEx>
        <w:trPr>
          <w:trHeight w:val="564"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3AEEE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中期规划建设完备程度</w:t>
            </w:r>
          </w:p>
        </w:tc>
        <w:tc>
          <w:tcPr>
            <w:tcW w:w="7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3DC9E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27E2">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4856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F9973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AA641">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14:paraId="1A2CC713">
        <w:tblPrEx>
          <w:shd w:val="clear" w:color="auto" w:fill="auto"/>
          <w:tblCellMar>
            <w:top w:w="0" w:type="dxa"/>
            <w:left w:w="0" w:type="dxa"/>
            <w:bottom w:w="0" w:type="dxa"/>
            <w:right w:w="0" w:type="dxa"/>
          </w:tblCellMar>
        </w:tblPrEx>
        <w:trPr>
          <w:trHeight w:val="564"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F3BEF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人员培训参加率</w:t>
            </w:r>
          </w:p>
        </w:tc>
        <w:tc>
          <w:tcPr>
            <w:tcW w:w="7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57F72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AB68">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1389A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2419D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38F36">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14:paraId="7F8BD2CF">
        <w:tblPrEx>
          <w:tblCellMar>
            <w:top w:w="0" w:type="dxa"/>
            <w:left w:w="0" w:type="dxa"/>
            <w:bottom w:w="0" w:type="dxa"/>
            <w:right w:w="0" w:type="dxa"/>
          </w:tblCellMar>
        </w:tblPrEx>
        <w:trPr>
          <w:trHeight w:val="564"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8A788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档案管理完备性</w:t>
            </w:r>
          </w:p>
        </w:tc>
        <w:tc>
          <w:tcPr>
            <w:tcW w:w="7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4B888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F8C3">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A1DD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3.34</w:t>
            </w: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FFB58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1024E">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90.12%</w:t>
            </w:r>
          </w:p>
        </w:tc>
      </w:tr>
      <w:tr w14:paraId="3F897A87">
        <w:tblPrEx>
          <w:tblCellMar>
            <w:top w:w="0" w:type="dxa"/>
            <w:left w:w="0" w:type="dxa"/>
            <w:bottom w:w="0" w:type="dxa"/>
            <w:right w:w="0" w:type="dxa"/>
          </w:tblCellMar>
        </w:tblPrEx>
        <w:trPr>
          <w:trHeight w:val="564" w:hRule="atLeast"/>
          <w:jc w:val="center"/>
        </w:trPr>
        <w:tc>
          <w:tcPr>
            <w:tcW w:w="3037"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582013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合计</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82B84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96814E5">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9.01</w:t>
            </w:r>
          </w:p>
        </w:tc>
        <w:tc>
          <w:tcPr>
            <w:tcW w:w="9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F26EC6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90.10%</w:t>
            </w:r>
          </w:p>
        </w:tc>
      </w:tr>
    </w:tbl>
    <w:p w14:paraId="783F5EF4">
      <w:pPr>
        <w:ind w:left="0" w:leftChars="0" w:firstLine="562" w:firstLineChars="200"/>
        <w:rPr>
          <w:rFonts w:hint="eastAsia" w:hAnsi="宋体" w:cs="宋体"/>
          <w:b/>
          <w:bCs/>
          <w:kern w:val="0"/>
          <w:szCs w:val="28"/>
          <w:highlight w:val="none"/>
        </w:rPr>
      </w:pPr>
    </w:p>
    <w:p w14:paraId="399D65A8">
      <w:pPr>
        <w:ind w:left="0" w:leftChars="0" w:firstLine="562" w:firstLineChars="200"/>
        <w:rPr>
          <w:rFonts w:hint="eastAsia" w:hAnsi="宋体" w:eastAsia="仿宋_GB2312"/>
          <w:szCs w:val="28"/>
          <w:highlight w:val="none"/>
          <w:lang w:val="en-US" w:eastAsia="zh-CN"/>
        </w:rPr>
      </w:pPr>
      <w:r>
        <w:rPr>
          <w:rFonts w:hint="eastAsia" w:hAnsi="宋体" w:cs="宋体"/>
          <w:b/>
          <w:bCs/>
          <w:kern w:val="0"/>
          <w:szCs w:val="28"/>
          <w:highlight w:val="none"/>
        </w:rPr>
        <w:t>中期规划建设完备程度</w:t>
      </w:r>
      <w:r>
        <w:rPr>
          <w:rFonts w:hint="eastAsia" w:hAnsi="宋体" w:cs="宋体"/>
          <w:b/>
          <w:bCs/>
          <w:kern w:val="0"/>
          <w:szCs w:val="28"/>
          <w:highlight w:val="none"/>
          <w:lang w:eastAsia="zh-CN"/>
        </w:rPr>
        <w:t>：</w:t>
      </w:r>
      <w:r>
        <w:rPr>
          <w:rFonts w:hint="eastAsia" w:hAnsi="宋体"/>
          <w:szCs w:val="28"/>
          <w:highlight w:val="none"/>
          <w:lang w:eastAsia="zh-CN"/>
        </w:rPr>
        <w:t>渭源</w:t>
      </w:r>
      <w:r>
        <w:rPr>
          <w:rFonts w:hint="eastAsia" w:hAnsi="宋体"/>
          <w:szCs w:val="28"/>
          <w:highlight w:val="none"/>
        </w:rPr>
        <w:t>县检察院中期规划建设高度完备。从业务开展来看，制定了详细的办案流程优化计划，如缩短审查起诉周期、提升认罪认罚从宽制度适用率等目标及具体举措；队伍建设方面，明确人才培养方向，引入高端法律人才的同时，挖掘内部潜力</w:t>
      </w:r>
      <w:r>
        <w:rPr>
          <w:rFonts w:hint="eastAsia"/>
        </w:rPr>
        <w:t>。</w:t>
      </w:r>
      <w:r>
        <w:rPr>
          <w:rFonts w:hint="eastAsia" w:hAnsi="宋体"/>
          <w:szCs w:val="28"/>
          <w:highlight w:val="none"/>
        </w:rPr>
        <w:t>指标分值</w:t>
      </w:r>
      <w:r>
        <w:rPr>
          <w:rFonts w:hint="eastAsia" w:hAnsi="宋体"/>
          <w:szCs w:val="28"/>
          <w:highlight w:val="none"/>
          <w:lang w:val="en-US" w:eastAsia="zh-CN"/>
        </w:rPr>
        <w:t>3.33</w:t>
      </w:r>
      <w:r>
        <w:rPr>
          <w:rFonts w:hint="eastAsia" w:hAnsi="宋体"/>
          <w:szCs w:val="28"/>
          <w:highlight w:val="none"/>
        </w:rPr>
        <w:t>分，自评得分</w:t>
      </w:r>
      <w:r>
        <w:rPr>
          <w:rFonts w:hint="eastAsia" w:hAnsi="宋体"/>
          <w:szCs w:val="28"/>
          <w:highlight w:val="none"/>
          <w:lang w:val="en-US" w:eastAsia="zh-CN"/>
        </w:rPr>
        <w:t>3</w:t>
      </w:r>
      <w:r>
        <w:rPr>
          <w:rFonts w:hint="eastAsia" w:hAnsi="宋体"/>
          <w:szCs w:val="28"/>
          <w:highlight w:val="none"/>
        </w:rPr>
        <w:t>分，得分率为</w:t>
      </w:r>
      <w:r>
        <w:rPr>
          <w:rFonts w:hint="eastAsia" w:hAnsi="宋体"/>
          <w:szCs w:val="28"/>
          <w:highlight w:val="none"/>
          <w:lang w:val="en-US" w:eastAsia="zh-CN"/>
        </w:rPr>
        <w:t>90.09</w:t>
      </w:r>
      <w:r>
        <w:rPr>
          <w:rFonts w:hint="eastAsia" w:hAnsi="宋体"/>
          <w:szCs w:val="28"/>
          <w:highlight w:val="none"/>
        </w:rPr>
        <w:t>%</w:t>
      </w:r>
      <w:r>
        <w:rPr>
          <w:rFonts w:hint="eastAsia" w:hAnsi="宋体"/>
          <w:szCs w:val="28"/>
          <w:highlight w:val="none"/>
          <w:lang w:eastAsia="zh-CN"/>
        </w:rPr>
        <w:t>。</w:t>
      </w:r>
    </w:p>
    <w:p w14:paraId="2D0CF8F6">
      <w:pPr>
        <w:ind w:left="0" w:leftChars="0" w:firstLine="562" w:firstLineChars="200"/>
        <w:rPr>
          <w:rFonts w:hint="eastAsia" w:hAnsi="宋体" w:eastAsia="仿宋_GB2312"/>
          <w:szCs w:val="28"/>
          <w:highlight w:val="none"/>
          <w:lang w:val="en-US" w:eastAsia="zh-CN"/>
        </w:rPr>
      </w:pPr>
      <w:r>
        <w:rPr>
          <w:rFonts w:hint="eastAsia" w:hAnsi="宋体" w:cs="宋体"/>
          <w:b/>
          <w:bCs/>
          <w:kern w:val="0"/>
          <w:szCs w:val="28"/>
          <w:highlight w:val="none"/>
          <w:lang w:eastAsia="zh-CN"/>
        </w:rPr>
        <w:t>人员培训参加率：</w:t>
      </w:r>
      <w:r>
        <w:rPr>
          <w:rFonts w:hint="eastAsia"/>
        </w:rPr>
        <w:t>在人员培训上，培训体系完善，涵盖业务技能、职业道德等多领域。通过丰富培训形式，像线上线下结合、案例研讨等，激发干警参与热情，人员培训参加率</w:t>
      </w:r>
      <w:r>
        <w:rPr>
          <w:rFonts w:hint="eastAsia"/>
          <w:lang w:val="en-US" w:eastAsia="zh-CN"/>
        </w:rPr>
        <w:t>高</w:t>
      </w:r>
      <w:r>
        <w:rPr>
          <w:rFonts w:hint="eastAsia"/>
        </w:rPr>
        <w:t>，为检察工作高质量发展筑牢根基。</w:t>
      </w:r>
      <w:r>
        <w:rPr>
          <w:rFonts w:hint="eastAsia" w:hAnsi="宋体"/>
          <w:szCs w:val="28"/>
          <w:highlight w:val="none"/>
        </w:rPr>
        <w:t>指标分值</w:t>
      </w:r>
      <w:r>
        <w:rPr>
          <w:rFonts w:hint="eastAsia" w:hAnsi="宋体"/>
          <w:szCs w:val="28"/>
          <w:highlight w:val="none"/>
          <w:lang w:val="en-US" w:eastAsia="zh-CN"/>
        </w:rPr>
        <w:t>3.33</w:t>
      </w:r>
      <w:r>
        <w:rPr>
          <w:rFonts w:hint="eastAsia" w:hAnsi="宋体"/>
          <w:szCs w:val="28"/>
          <w:highlight w:val="none"/>
        </w:rPr>
        <w:t>分，自评得分</w:t>
      </w:r>
      <w:r>
        <w:rPr>
          <w:rFonts w:hint="eastAsia" w:hAnsi="宋体"/>
          <w:szCs w:val="28"/>
          <w:highlight w:val="none"/>
          <w:lang w:val="en-US" w:eastAsia="zh-CN"/>
        </w:rPr>
        <w:t>3</w:t>
      </w:r>
      <w:r>
        <w:rPr>
          <w:rFonts w:hint="eastAsia" w:hAnsi="宋体"/>
          <w:szCs w:val="28"/>
          <w:highlight w:val="none"/>
        </w:rPr>
        <w:t>分，得分率为</w:t>
      </w:r>
      <w:r>
        <w:rPr>
          <w:rFonts w:hint="eastAsia" w:hAnsi="宋体"/>
          <w:szCs w:val="28"/>
          <w:highlight w:val="none"/>
          <w:lang w:val="en-US" w:eastAsia="zh-CN"/>
        </w:rPr>
        <w:t>90.09</w:t>
      </w:r>
      <w:r>
        <w:rPr>
          <w:rFonts w:hint="eastAsia" w:hAnsi="宋体"/>
          <w:szCs w:val="28"/>
          <w:highlight w:val="none"/>
        </w:rPr>
        <w:t>%</w:t>
      </w:r>
      <w:r>
        <w:rPr>
          <w:rFonts w:hint="eastAsia" w:hAnsi="宋体"/>
          <w:szCs w:val="28"/>
          <w:highlight w:val="none"/>
          <w:lang w:eastAsia="zh-CN"/>
        </w:rPr>
        <w:t>。</w:t>
      </w:r>
    </w:p>
    <w:p w14:paraId="4A21FB3D">
      <w:pPr>
        <w:ind w:left="0" w:leftChars="0" w:firstLine="562" w:firstLineChars="200"/>
        <w:rPr>
          <w:rFonts w:hint="eastAsia" w:hAnsi="宋体" w:eastAsia="仿宋_GB2312"/>
          <w:szCs w:val="28"/>
          <w:highlight w:val="none"/>
          <w:lang w:val="en-US" w:eastAsia="zh-CN"/>
        </w:rPr>
      </w:pPr>
      <w:r>
        <w:rPr>
          <w:rFonts w:hint="eastAsia" w:hAnsi="宋体" w:cs="宋体"/>
          <w:b/>
          <w:bCs/>
          <w:kern w:val="0"/>
          <w:szCs w:val="28"/>
          <w:highlight w:val="none"/>
          <w:lang w:eastAsia="zh-CN"/>
        </w:rPr>
        <w:t>档案管理机制完备性</w:t>
      </w:r>
      <w:r>
        <w:rPr>
          <w:rFonts w:hint="eastAsia" w:hAnsi="宋体" w:cs="宋体"/>
          <w:b/>
          <w:bCs/>
          <w:kern w:val="0"/>
          <w:szCs w:val="28"/>
          <w:highlight w:val="none"/>
        </w:rPr>
        <w:t>：</w:t>
      </w:r>
      <w:r>
        <w:rPr>
          <w:rFonts w:hint="eastAsia"/>
        </w:rPr>
        <w:t>档案管理同样严谨，建立数字化档案管理系统，对各类文件、案件卷宗分类归档，制定完善的借阅、保密制度，既方便资料查询调阅，又保障档案安全完整，为检察工作开展筑牢基础。</w:t>
      </w:r>
      <w:r>
        <w:rPr>
          <w:rFonts w:hint="eastAsia" w:hAnsi="宋体"/>
          <w:szCs w:val="28"/>
          <w:highlight w:val="none"/>
        </w:rPr>
        <w:t>指标分值</w:t>
      </w:r>
      <w:r>
        <w:rPr>
          <w:rFonts w:hint="eastAsia" w:hAnsi="宋体"/>
          <w:szCs w:val="28"/>
          <w:highlight w:val="none"/>
          <w:lang w:val="en-US" w:eastAsia="zh-CN"/>
        </w:rPr>
        <w:t>3.34</w:t>
      </w:r>
      <w:r>
        <w:rPr>
          <w:rFonts w:hint="eastAsia" w:hAnsi="宋体"/>
          <w:szCs w:val="28"/>
          <w:highlight w:val="none"/>
        </w:rPr>
        <w:t>分，自评得分</w:t>
      </w:r>
      <w:r>
        <w:rPr>
          <w:rFonts w:hint="eastAsia" w:hAnsi="宋体"/>
          <w:szCs w:val="28"/>
          <w:highlight w:val="none"/>
          <w:lang w:val="en-US" w:eastAsia="zh-CN"/>
        </w:rPr>
        <w:t>3.01</w:t>
      </w:r>
      <w:r>
        <w:rPr>
          <w:rFonts w:hint="eastAsia" w:hAnsi="宋体"/>
          <w:szCs w:val="28"/>
          <w:highlight w:val="none"/>
        </w:rPr>
        <w:t>分，得分率为</w:t>
      </w:r>
      <w:r>
        <w:rPr>
          <w:rFonts w:hint="eastAsia" w:hAnsi="宋体"/>
          <w:szCs w:val="28"/>
          <w:highlight w:val="none"/>
          <w:lang w:val="en-US" w:eastAsia="zh-CN"/>
        </w:rPr>
        <w:t>90.12</w:t>
      </w:r>
      <w:r>
        <w:rPr>
          <w:rFonts w:hint="eastAsia" w:hAnsi="宋体"/>
          <w:szCs w:val="28"/>
          <w:highlight w:val="none"/>
        </w:rPr>
        <w:t>%</w:t>
      </w:r>
      <w:r>
        <w:rPr>
          <w:rFonts w:hint="eastAsia" w:hAnsi="宋体"/>
          <w:szCs w:val="28"/>
          <w:highlight w:val="none"/>
          <w:lang w:eastAsia="zh-CN"/>
        </w:rPr>
        <w:t>。</w:t>
      </w:r>
    </w:p>
    <w:p w14:paraId="5092A16E">
      <w:pPr>
        <w:pStyle w:val="5"/>
        <w:ind w:left="0" w:leftChars="0" w:firstLine="321" w:firstLineChars="100"/>
        <w:rPr>
          <w:szCs w:val="28"/>
        </w:rPr>
      </w:pPr>
      <w:bookmarkStart w:id="21" w:name="_Toc19093"/>
      <w:bookmarkStart w:id="22" w:name="_Toc21913"/>
      <w:bookmarkStart w:id="23" w:name="_Toc16731"/>
      <w:bookmarkStart w:id="24" w:name="_Toc25201"/>
      <w:r>
        <w:rPr>
          <w:rFonts w:hint="eastAsia"/>
        </w:rPr>
        <w:t>（四）偏离绩效目标的原因及下一步改进措施</w:t>
      </w:r>
      <w:bookmarkEnd w:id="21"/>
      <w:bookmarkEnd w:id="22"/>
      <w:bookmarkEnd w:id="23"/>
      <w:bookmarkEnd w:id="24"/>
    </w:p>
    <w:p w14:paraId="0285E926">
      <w:pPr>
        <w:bidi w:val="0"/>
        <w:rPr>
          <w:rFonts w:hint="default"/>
          <w:lang w:val="en-US" w:eastAsia="zh-CN"/>
        </w:rPr>
      </w:pPr>
      <w:bookmarkStart w:id="25" w:name="_Toc10017"/>
      <w:bookmarkStart w:id="26" w:name="_Toc18976"/>
      <w:r>
        <w:rPr>
          <w:rFonts w:hint="eastAsia"/>
          <w:lang w:val="en-US" w:eastAsia="zh-CN"/>
        </w:rPr>
        <w:t>无。</w:t>
      </w:r>
    </w:p>
    <w:p w14:paraId="392D2534">
      <w:pPr>
        <w:pStyle w:val="4"/>
        <w:ind w:firstLine="643" w:firstLineChars="200"/>
      </w:pPr>
      <w:bookmarkStart w:id="27" w:name="_Toc16988"/>
      <w:r>
        <w:rPr>
          <w:rFonts w:hint="eastAsia"/>
        </w:rPr>
        <w:t>四、部门预算项目支出绩效自评情况分析</w:t>
      </w:r>
      <w:bookmarkEnd w:id="25"/>
      <w:bookmarkEnd w:id="26"/>
      <w:bookmarkEnd w:id="27"/>
    </w:p>
    <w:p w14:paraId="0E8088BB">
      <w:pPr>
        <w:ind w:firstLine="560"/>
        <w:rPr>
          <w:rFonts w:hAnsi="宋体"/>
          <w:szCs w:val="28"/>
          <w:highlight w:val="none"/>
        </w:rPr>
      </w:pPr>
      <w:r>
        <w:rPr>
          <w:rFonts w:hint="eastAsia"/>
          <w:szCs w:val="32"/>
          <w:highlight w:val="none"/>
          <w:lang w:eastAsia="zh-CN"/>
        </w:rPr>
        <w:t>2024年，</w:t>
      </w:r>
      <w:r>
        <w:rPr>
          <w:rFonts w:hint="eastAsia"/>
          <w:szCs w:val="32"/>
          <w:highlight w:val="none"/>
          <w:lang w:val="en"/>
        </w:rPr>
        <w:t>本部门预算支出项目</w:t>
      </w:r>
      <w:r>
        <w:rPr>
          <w:rFonts w:hint="eastAsia"/>
          <w:szCs w:val="32"/>
          <w:highlight w:val="none"/>
          <w:lang w:val="en-US" w:eastAsia="zh-CN"/>
        </w:rPr>
        <w:t>2</w:t>
      </w:r>
      <w:r>
        <w:rPr>
          <w:rFonts w:hint="eastAsia"/>
          <w:szCs w:val="32"/>
          <w:highlight w:val="none"/>
          <w:lang w:val="en"/>
        </w:rPr>
        <w:t>个，检察业务综合保障经费当年财政拨款</w:t>
      </w:r>
      <w:r>
        <w:rPr>
          <w:rFonts w:hint="eastAsia"/>
          <w:szCs w:val="32"/>
          <w:highlight w:val="none"/>
          <w:lang w:val="en-US" w:eastAsia="zh-CN"/>
        </w:rPr>
        <w:t>55</w:t>
      </w:r>
      <w:r>
        <w:rPr>
          <w:rFonts w:hint="eastAsia"/>
          <w:szCs w:val="32"/>
          <w:highlight w:val="none"/>
          <w:lang w:val="en"/>
        </w:rPr>
        <w:t>万元，全年支出</w:t>
      </w:r>
      <w:r>
        <w:rPr>
          <w:rFonts w:hint="eastAsia"/>
          <w:szCs w:val="32"/>
          <w:highlight w:val="none"/>
          <w:lang w:val="en-US" w:eastAsia="zh-CN"/>
        </w:rPr>
        <w:t>55万</w:t>
      </w:r>
      <w:r>
        <w:rPr>
          <w:rFonts w:hint="eastAsia"/>
          <w:szCs w:val="32"/>
          <w:highlight w:val="none"/>
          <w:lang w:val="en"/>
        </w:rPr>
        <w:t>元，执行率</w:t>
      </w:r>
      <w:r>
        <w:rPr>
          <w:rFonts w:hint="eastAsia"/>
          <w:szCs w:val="32"/>
          <w:highlight w:val="none"/>
          <w:lang w:val="en-US" w:eastAsia="zh-CN"/>
        </w:rPr>
        <w:t>100</w:t>
      </w:r>
      <w:r>
        <w:rPr>
          <w:rFonts w:hint="eastAsia"/>
          <w:szCs w:val="32"/>
          <w:highlight w:val="none"/>
          <w:lang w:val="en"/>
        </w:rPr>
        <w:t>%。中央政法转移支付资金当年财政拨款</w:t>
      </w:r>
      <w:r>
        <w:rPr>
          <w:rFonts w:hint="eastAsia"/>
          <w:szCs w:val="32"/>
          <w:highlight w:val="none"/>
          <w:lang w:val="en-US" w:eastAsia="zh-CN"/>
        </w:rPr>
        <w:t>215万元，</w:t>
      </w:r>
      <w:r>
        <w:rPr>
          <w:rFonts w:hint="eastAsia"/>
          <w:szCs w:val="32"/>
          <w:highlight w:val="none"/>
          <w:lang w:val="en"/>
        </w:rPr>
        <w:t>全年支出</w:t>
      </w:r>
      <w:r>
        <w:rPr>
          <w:rFonts w:hint="eastAsia"/>
          <w:szCs w:val="32"/>
          <w:highlight w:val="none"/>
          <w:lang w:val="en-US" w:eastAsia="zh-CN"/>
        </w:rPr>
        <w:t>215</w:t>
      </w:r>
      <w:r>
        <w:rPr>
          <w:rFonts w:hint="eastAsia"/>
          <w:szCs w:val="32"/>
          <w:highlight w:val="none"/>
          <w:lang w:val="en"/>
        </w:rPr>
        <w:t>万元，执行率</w:t>
      </w:r>
      <w:r>
        <w:rPr>
          <w:rFonts w:hint="eastAsia"/>
          <w:szCs w:val="32"/>
          <w:highlight w:val="none"/>
          <w:lang w:val="en-US" w:eastAsia="zh-CN"/>
        </w:rPr>
        <w:t>100</w:t>
      </w:r>
      <w:r>
        <w:rPr>
          <w:rFonts w:hint="eastAsia"/>
          <w:szCs w:val="32"/>
          <w:highlight w:val="none"/>
          <w:lang w:val="en"/>
        </w:rPr>
        <w:t>%。通过自评，有</w:t>
      </w:r>
      <w:r>
        <w:rPr>
          <w:rFonts w:hint="eastAsia"/>
          <w:szCs w:val="32"/>
          <w:highlight w:val="none"/>
          <w:lang w:val="en-US" w:eastAsia="zh-CN"/>
        </w:rPr>
        <w:t>2</w:t>
      </w:r>
      <w:r>
        <w:rPr>
          <w:rFonts w:hint="eastAsia"/>
          <w:szCs w:val="32"/>
          <w:highlight w:val="none"/>
          <w:lang w:val="en"/>
        </w:rPr>
        <w:t>个项目结果为“优”。分项目自评情况分析如下</w:t>
      </w:r>
      <w:r>
        <w:rPr>
          <w:rFonts w:hint="eastAsia" w:hAnsi="宋体"/>
          <w:szCs w:val="28"/>
          <w:highlight w:val="none"/>
        </w:rPr>
        <w:t>：</w:t>
      </w:r>
    </w:p>
    <w:p w14:paraId="2E3CC1FF">
      <w:pPr>
        <w:pStyle w:val="5"/>
        <w:widowControl/>
        <w:ind w:left="560" w:leftChars="200" w:firstLine="0" w:firstLineChars="0"/>
      </w:pPr>
      <w:bookmarkStart w:id="28" w:name="_Toc9097"/>
      <w:bookmarkStart w:id="29" w:name="_Toc3777"/>
      <w:r>
        <w:rPr>
          <w:rFonts w:hint="eastAsia"/>
        </w:rPr>
        <w:t>（一）</w:t>
      </w:r>
      <w:r>
        <w:t>项目</w:t>
      </w:r>
      <w:r>
        <w:rPr>
          <w:rFonts w:hint="eastAsia"/>
          <w:lang w:val="en-US" w:eastAsia="zh-CN"/>
        </w:rPr>
        <w:t>1</w:t>
      </w:r>
      <w:r>
        <w:t>-</w:t>
      </w:r>
      <w:r>
        <w:rPr>
          <w:rFonts w:hint="eastAsia"/>
        </w:rPr>
        <w:t>检察业务综合保障经费</w:t>
      </w:r>
      <w:bookmarkEnd w:id="28"/>
    </w:p>
    <w:p w14:paraId="6E279242">
      <w:pPr>
        <w:pStyle w:val="6"/>
        <w:widowControl/>
        <w:ind w:firstLine="562"/>
        <w:rPr>
          <w:szCs w:val="28"/>
        </w:rPr>
      </w:pPr>
      <w:r>
        <w:rPr>
          <w:szCs w:val="28"/>
        </w:rPr>
        <w:t>1</w:t>
      </w:r>
      <w:r>
        <w:rPr>
          <w:rFonts w:hint="eastAsia"/>
          <w:szCs w:val="28"/>
        </w:rPr>
        <w:t>.</w:t>
      </w:r>
      <w:r>
        <w:rPr>
          <w:szCs w:val="28"/>
        </w:rPr>
        <w:t>项目支出预算执行情况</w:t>
      </w:r>
    </w:p>
    <w:p w14:paraId="586E7AE7">
      <w:pPr>
        <w:ind w:firstLine="560"/>
        <w:rPr>
          <w:rFonts w:hint="default" w:eastAsia="仿宋_GB2312"/>
          <w:highlight w:val="none"/>
          <w:lang w:val="en-US" w:eastAsia="zh-CN"/>
        </w:rPr>
      </w:pPr>
      <w:r>
        <w:rPr>
          <w:rFonts w:hint="eastAsia"/>
          <w:highlight w:val="none"/>
        </w:rPr>
        <w:t>检察业务综合保障经费项目年初预算数</w:t>
      </w:r>
      <w:r>
        <w:rPr>
          <w:rFonts w:hint="eastAsia"/>
          <w:highlight w:val="none"/>
          <w:lang w:val="en-US" w:eastAsia="zh-CN"/>
        </w:rPr>
        <w:t>55</w:t>
      </w:r>
      <w:r>
        <w:rPr>
          <w:rFonts w:hint="eastAsia"/>
          <w:highlight w:val="none"/>
        </w:rPr>
        <w:t>万元，全年预算数</w:t>
      </w:r>
      <w:r>
        <w:rPr>
          <w:rFonts w:hint="eastAsia"/>
          <w:highlight w:val="none"/>
          <w:lang w:val="en-US" w:eastAsia="zh-CN"/>
        </w:rPr>
        <w:t>55</w:t>
      </w:r>
      <w:r>
        <w:rPr>
          <w:rFonts w:hint="eastAsia"/>
          <w:highlight w:val="none"/>
        </w:rPr>
        <w:t>万元，全年执行数</w:t>
      </w:r>
      <w:r>
        <w:rPr>
          <w:rFonts w:hint="eastAsia"/>
          <w:highlight w:val="none"/>
          <w:lang w:val="en-US" w:eastAsia="zh-CN"/>
        </w:rPr>
        <w:t>55</w:t>
      </w:r>
      <w:r>
        <w:rPr>
          <w:rFonts w:hint="eastAsia"/>
          <w:highlight w:val="none"/>
        </w:rPr>
        <w:t>万元，执行率</w:t>
      </w:r>
      <w:r>
        <w:rPr>
          <w:rFonts w:hint="eastAsia"/>
          <w:highlight w:val="none"/>
          <w:lang w:val="en-US" w:eastAsia="zh-CN"/>
        </w:rPr>
        <w:t>100</w:t>
      </w:r>
      <w:r>
        <w:rPr>
          <w:rFonts w:hint="eastAsia"/>
          <w:highlight w:val="none"/>
        </w:rPr>
        <w:t>%</w:t>
      </w:r>
      <w:r>
        <w:rPr>
          <w:rFonts w:hint="eastAsia"/>
          <w:highlight w:val="none"/>
          <w:lang w:eastAsia="zh-CN"/>
        </w:rPr>
        <w:t>。指标分值</w:t>
      </w:r>
      <w:r>
        <w:rPr>
          <w:rFonts w:hint="eastAsia"/>
          <w:highlight w:val="none"/>
          <w:lang w:val="en-US" w:eastAsia="zh-CN"/>
        </w:rPr>
        <w:t>10分，自评得分10分，得分率100%。</w:t>
      </w:r>
    </w:p>
    <w:p w14:paraId="19186497">
      <w:pPr>
        <w:pStyle w:val="6"/>
        <w:widowControl/>
        <w:tabs>
          <w:tab w:val="left" w:pos="312"/>
        </w:tabs>
        <w:ind w:left="562" w:firstLine="0" w:firstLineChars="0"/>
        <w:rPr>
          <w:szCs w:val="28"/>
        </w:rPr>
      </w:pPr>
      <w:r>
        <w:rPr>
          <w:rFonts w:hint="eastAsia"/>
          <w:szCs w:val="28"/>
        </w:rPr>
        <w:t>2.</w:t>
      </w:r>
      <w:r>
        <w:rPr>
          <w:szCs w:val="28"/>
        </w:rPr>
        <w:t>总体绩效目标完成情况分析</w:t>
      </w:r>
    </w:p>
    <w:p w14:paraId="1EFA8E7D">
      <w:pPr>
        <w:ind w:firstLine="560"/>
        <w:rPr>
          <w:rFonts w:hint="eastAsia" w:eastAsia="仿宋_GB2312"/>
          <w:highlight w:val="none"/>
          <w:lang w:eastAsia="zh-CN"/>
        </w:rPr>
      </w:pPr>
      <w:r>
        <w:rPr>
          <w:rFonts w:hint="eastAsia"/>
          <w:highlight w:val="none"/>
        </w:rPr>
        <w:t>检察业务综合保障经费项目共设</w:t>
      </w:r>
      <w:r>
        <w:rPr>
          <w:rFonts w:hint="eastAsia"/>
          <w:highlight w:val="none"/>
          <w:lang w:val="en-US" w:eastAsia="zh-CN"/>
        </w:rPr>
        <w:t>成本、</w:t>
      </w:r>
      <w:r>
        <w:rPr>
          <w:rFonts w:hint="eastAsia"/>
          <w:highlight w:val="none"/>
        </w:rPr>
        <w:t>产出、效益、满意度</w:t>
      </w:r>
      <w:r>
        <w:rPr>
          <w:rFonts w:hint="eastAsia"/>
          <w:highlight w:val="none"/>
          <w:lang w:val="en-US" w:eastAsia="zh-CN"/>
        </w:rPr>
        <w:t>4</w:t>
      </w:r>
      <w:r>
        <w:rPr>
          <w:rFonts w:hint="eastAsia"/>
          <w:highlight w:val="none"/>
        </w:rPr>
        <w:t>个一级指标，该项目</w:t>
      </w:r>
      <w:r>
        <w:rPr>
          <w:rFonts w:hint="eastAsia"/>
          <w:highlight w:val="none"/>
          <w:lang w:eastAsia="zh-CN"/>
        </w:rPr>
        <w:t>指标总分合计</w:t>
      </w:r>
      <w:r>
        <w:rPr>
          <w:rFonts w:hint="eastAsia"/>
          <w:highlight w:val="none"/>
          <w:lang w:val="en-US" w:eastAsia="zh-CN"/>
        </w:rPr>
        <w:t>100分，</w:t>
      </w:r>
      <w:r>
        <w:rPr>
          <w:rFonts w:hint="eastAsia"/>
          <w:highlight w:val="none"/>
        </w:rPr>
        <w:t>自评得分</w:t>
      </w:r>
      <w:r>
        <w:rPr>
          <w:rFonts w:hint="eastAsia"/>
          <w:highlight w:val="none"/>
          <w:lang w:val="en-US" w:eastAsia="zh-CN"/>
        </w:rPr>
        <w:t>96.85</w:t>
      </w:r>
      <w:r>
        <w:rPr>
          <w:rFonts w:hint="eastAsia"/>
          <w:highlight w:val="none"/>
        </w:rPr>
        <w:t>分，自评结果为“</w:t>
      </w:r>
      <w:r>
        <w:rPr>
          <w:rFonts w:hint="eastAsia"/>
          <w:highlight w:val="none"/>
          <w:lang w:val="en-US" w:eastAsia="zh-CN"/>
        </w:rPr>
        <w:t>优</w:t>
      </w:r>
      <w:r>
        <w:rPr>
          <w:rFonts w:hint="eastAsia"/>
          <w:highlight w:val="none"/>
          <w:lang w:eastAsia="zh-CN"/>
        </w:rPr>
        <w:t>”。</w:t>
      </w:r>
    </w:p>
    <w:p w14:paraId="742ECF3A">
      <w:pPr>
        <w:ind w:firstLine="562"/>
        <w:rPr>
          <w:rFonts w:hint="eastAsia" w:eastAsia="仿宋_GB2312" w:cs="Times New Roman"/>
          <w:highlight w:val="none"/>
          <w:lang w:eastAsia="zh-CN" w:bidi="ar"/>
        </w:rPr>
      </w:pPr>
      <w:r>
        <w:rPr>
          <w:rFonts w:hint="eastAsia" w:cs="Times New Roman"/>
          <w:b/>
          <w:bCs/>
          <w:highlight w:val="none"/>
          <w:lang w:bidi="ar"/>
        </w:rPr>
        <w:t>预期目标</w:t>
      </w:r>
      <w:r>
        <w:rPr>
          <w:rFonts w:hint="eastAsia" w:cs="Times New Roman"/>
          <w:highlight w:val="none"/>
          <w:lang w:bidi="ar"/>
        </w:rPr>
        <w:t>：完成</w:t>
      </w:r>
      <w:r>
        <w:rPr>
          <w:rFonts w:hint="eastAsia" w:cs="Times New Roman"/>
          <w:highlight w:val="none"/>
          <w:lang w:eastAsia="zh-CN" w:bidi="ar"/>
        </w:rPr>
        <w:t>2024</w:t>
      </w:r>
      <w:r>
        <w:rPr>
          <w:rFonts w:hint="eastAsia" w:cs="Times New Roman"/>
          <w:highlight w:val="none"/>
          <w:lang w:bidi="ar"/>
        </w:rPr>
        <w:t>年总体绩效目标，通过绩效</w:t>
      </w:r>
      <w:r>
        <w:rPr>
          <w:rFonts w:hint="eastAsia" w:cs="Times New Roman"/>
          <w:highlight w:val="none"/>
          <w:lang w:val="en-US" w:eastAsia="zh-CN" w:bidi="ar"/>
        </w:rPr>
        <w:t>自评</w:t>
      </w:r>
      <w:r>
        <w:rPr>
          <w:rFonts w:hint="eastAsia" w:cs="Times New Roman"/>
          <w:highlight w:val="none"/>
          <w:lang w:bidi="ar"/>
        </w:rPr>
        <w:t>全面分析检察业务综合保障经费资金分配使用及管理等情况，单位进一步完善项目申报、实施等程序，规范资金分配、使用及管理，切实提高财政资金使用效益</w:t>
      </w:r>
      <w:r>
        <w:rPr>
          <w:rFonts w:hint="eastAsia" w:cs="Times New Roman"/>
          <w:highlight w:val="none"/>
          <w:lang w:eastAsia="zh-CN" w:bidi="ar"/>
        </w:rPr>
        <w:t>。</w:t>
      </w:r>
    </w:p>
    <w:p w14:paraId="035871CD">
      <w:pPr>
        <w:ind w:firstLine="562"/>
        <w:rPr>
          <w:rFonts w:hint="default"/>
          <w:highlight w:val="none"/>
          <w:lang w:val="en-US" w:eastAsia="zh-CN"/>
        </w:rPr>
      </w:pPr>
      <w:r>
        <w:rPr>
          <w:rFonts w:hint="eastAsia"/>
          <w:b/>
          <w:bCs/>
          <w:highlight w:val="none"/>
        </w:rPr>
        <w:t>实际完成情况：</w:t>
      </w:r>
      <w:r>
        <w:rPr>
          <w:rFonts w:hint="eastAsia"/>
          <w:highlight w:val="none"/>
          <w:lang w:eastAsia="zh-CN"/>
        </w:rPr>
        <w:t>2024年总体绩效目标</w:t>
      </w:r>
      <w:r>
        <w:rPr>
          <w:rFonts w:hint="eastAsia"/>
          <w:highlight w:val="none"/>
          <w:lang w:val="en-US" w:eastAsia="zh-CN"/>
        </w:rPr>
        <w:t>均完成。</w:t>
      </w:r>
    </w:p>
    <w:p w14:paraId="4ECFAF2F">
      <w:pPr>
        <w:pStyle w:val="6"/>
        <w:widowControl/>
        <w:ind w:firstLine="562"/>
        <w:rPr>
          <w:szCs w:val="28"/>
        </w:rPr>
      </w:pPr>
      <w:r>
        <w:rPr>
          <w:szCs w:val="28"/>
        </w:rPr>
        <w:t>3</w:t>
      </w:r>
      <w:r>
        <w:rPr>
          <w:rFonts w:hAnsi="宋体"/>
          <w:szCs w:val="28"/>
        </w:rPr>
        <w:t>.</w:t>
      </w:r>
      <w:r>
        <w:rPr>
          <w:szCs w:val="28"/>
        </w:rPr>
        <w:t>各项指标完成情况分析</w:t>
      </w:r>
    </w:p>
    <w:p w14:paraId="789D52BA">
      <w:pPr>
        <w:ind w:firstLine="560"/>
        <w:rPr>
          <w:rFonts w:cs="Times New Roman"/>
          <w:szCs w:val="28"/>
          <w:highlight w:val="none"/>
          <w:lang w:bidi="ar"/>
        </w:rPr>
      </w:pPr>
      <w:r>
        <w:rPr>
          <w:rFonts w:cs="Times New Roman"/>
          <w:szCs w:val="28"/>
          <w:highlight w:val="none"/>
          <w:lang w:bidi="ar"/>
        </w:rPr>
        <w:t>根据《甘肃省财政厅关于开展</w:t>
      </w:r>
      <w:r>
        <w:rPr>
          <w:rFonts w:hint="eastAsia" w:cs="Times New Roman"/>
          <w:szCs w:val="28"/>
          <w:highlight w:val="none"/>
          <w:lang w:eastAsia="zh-CN" w:bidi="ar"/>
        </w:rPr>
        <w:t>2024年度</w:t>
      </w:r>
      <w:r>
        <w:rPr>
          <w:rFonts w:cs="Times New Roman"/>
          <w:szCs w:val="28"/>
          <w:highlight w:val="none"/>
          <w:lang w:bidi="ar"/>
        </w:rPr>
        <w:t>省级预算执行情况绩效自评工作的通知》（甘财绩〔</w:t>
      </w:r>
      <w:r>
        <w:rPr>
          <w:rFonts w:hint="eastAsia" w:cs="Times New Roman"/>
          <w:szCs w:val="28"/>
          <w:highlight w:val="none"/>
          <w:lang w:eastAsia="zh-CN" w:bidi="ar"/>
        </w:rPr>
        <w:t>202</w:t>
      </w:r>
      <w:r>
        <w:rPr>
          <w:rFonts w:hint="eastAsia" w:cs="Times New Roman"/>
          <w:szCs w:val="28"/>
          <w:highlight w:val="none"/>
          <w:lang w:val="en-US" w:eastAsia="zh-CN" w:bidi="ar"/>
        </w:rPr>
        <w:t>0</w:t>
      </w:r>
      <w:r>
        <w:rPr>
          <w:rFonts w:cs="Times New Roman"/>
          <w:szCs w:val="28"/>
          <w:highlight w:val="none"/>
          <w:lang w:bidi="ar"/>
        </w:rPr>
        <w:t>〕</w:t>
      </w:r>
      <w:r>
        <w:rPr>
          <w:rFonts w:hint="eastAsia" w:cs="Times New Roman"/>
          <w:szCs w:val="28"/>
          <w:highlight w:val="none"/>
          <w:lang w:val="en-US" w:eastAsia="zh-CN" w:bidi="ar"/>
        </w:rPr>
        <w:t>5</w:t>
      </w:r>
      <w:r>
        <w:rPr>
          <w:rFonts w:cs="Times New Roman"/>
          <w:szCs w:val="28"/>
          <w:highlight w:val="none"/>
          <w:lang w:bidi="ar"/>
        </w:rPr>
        <w:t>号）的要求，项目支出指标设置</w:t>
      </w:r>
      <w:r>
        <w:rPr>
          <w:rFonts w:hint="eastAsia"/>
          <w:highlight w:val="none"/>
          <w:lang w:val="en-US" w:eastAsia="zh-CN"/>
        </w:rPr>
        <w:t>成本指标为20%，</w:t>
      </w:r>
      <w:r>
        <w:rPr>
          <w:rFonts w:hint="eastAsia"/>
          <w:highlight w:val="none"/>
          <w:lang w:eastAsia="zh-CN"/>
        </w:rPr>
        <w:t>产出指标为</w:t>
      </w:r>
      <w:r>
        <w:rPr>
          <w:rFonts w:hint="eastAsia"/>
          <w:highlight w:val="none"/>
          <w:lang w:val="en-US" w:eastAsia="zh-CN"/>
        </w:rPr>
        <w:t>4</w:t>
      </w:r>
      <w:r>
        <w:rPr>
          <w:rFonts w:hint="eastAsia"/>
          <w:highlight w:val="none"/>
          <w:lang w:eastAsia="zh-CN"/>
        </w:rPr>
        <w:t>0%，效益指标</w:t>
      </w:r>
      <w:r>
        <w:rPr>
          <w:rFonts w:hint="eastAsia"/>
          <w:highlight w:val="none"/>
          <w:lang w:val="en-US" w:eastAsia="zh-CN"/>
        </w:rPr>
        <w:t>2</w:t>
      </w:r>
      <w:r>
        <w:rPr>
          <w:rFonts w:hint="eastAsia"/>
          <w:highlight w:val="none"/>
          <w:lang w:eastAsia="zh-CN"/>
        </w:rPr>
        <w:t>0%，满意度指标10%</w:t>
      </w:r>
      <w:r>
        <w:rPr>
          <w:rFonts w:cs="Times New Roman"/>
          <w:szCs w:val="28"/>
          <w:highlight w:val="none"/>
          <w:lang w:bidi="ar"/>
        </w:rPr>
        <w:t>。</w:t>
      </w:r>
    </w:p>
    <w:p w14:paraId="6CC5B3AE">
      <w:pPr>
        <w:numPr>
          <w:ilvl w:val="0"/>
          <w:numId w:val="0"/>
        </w:numPr>
        <w:adjustRightInd w:val="0"/>
        <w:spacing w:line="520" w:lineRule="exact"/>
        <w:ind w:firstLine="560" w:firstLineChars="200"/>
        <w:jc w:val="left"/>
        <w:rPr>
          <w:rFonts w:hint="eastAsia"/>
          <w:highlight w:val="none"/>
          <w:lang w:val="en-US" w:eastAsia="zh-CN"/>
        </w:rPr>
      </w:pPr>
      <w:r>
        <w:rPr>
          <w:rFonts w:hint="eastAsia"/>
          <w:highlight w:val="none"/>
          <w:lang w:val="en-US" w:eastAsia="zh-CN"/>
        </w:rPr>
        <w:t>（1）成本指标</w:t>
      </w:r>
    </w:p>
    <w:p w14:paraId="3045294C">
      <w:pPr>
        <w:adjustRightInd w:val="0"/>
        <w:spacing w:line="520" w:lineRule="exact"/>
        <w:ind w:firstLine="560" w:firstLineChars="200"/>
        <w:jc w:val="left"/>
        <w:rPr>
          <w:rFonts w:hint="eastAsia"/>
          <w:highlight w:val="none"/>
          <w:lang w:eastAsia="zh-CN"/>
        </w:rPr>
      </w:pPr>
      <w:r>
        <w:rPr>
          <w:rFonts w:hint="eastAsia"/>
          <w:highlight w:val="none"/>
          <w:lang w:val="en-US" w:eastAsia="zh-CN"/>
        </w:rPr>
        <w:t>成本指标包括经济成本指标1个二级指标，</w:t>
      </w:r>
      <w:r>
        <w:rPr>
          <w:rFonts w:hint="eastAsia"/>
          <w:highlight w:val="none"/>
          <w:lang w:eastAsia="zh-CN"/>
        </w:rPr>
        <w:t>指标总分值</w:t>
      </w:r>
      <w:r>
        <w:rPr>
          <w:rFonts w:hint="eastAsia"/>
          <w:highlight w:val="none"/>
          <w:lang w:val="en-US" w:eastAsia="zh-CN"/>
        </w:rPr>
        <w:t>2</w:t>
      </w:r>
      <w:r>
        <w:rPr>
          <w:rFonts w:hint="eastAsia"/>
          <w:highlight w:val="none"/>
          <w:lang w:eastAsia="zh-CN"/>
        </w:rPr>
        <w:t>0分，自评得分</w:t>
      </w:r>
      <w:r>
        <w:rPr>
          <w:rFonts w:hint="eastAsia"/>
          <w:highlight w:val="none"/>
          <w:lang w:val="en-US" w:eastAsia="zh-CN"/>
        </w:rPr>
        <w:t>20</w:t>
      </w:r>
      <w:r>
        <w:rPr>
          <w:rFonts w:hint="eastAsia"/>
          <w:highlight w:val="none"/>
          <w:lang w:eastAsia="zh-CN"/>
        </w:rPr>
        <w:t>分，得分率</w:t>
      </w:r>
      <w:r>
        <w:rPr>
          <w:rFonts w:hint="eastAsia"/>
          <w:highlight w:val="none"/>
          <w:lang w:val="en-US" w:eastAsia="zh-CN"/>
        </w:rPr>
        <w:t>100</w:t>
      </w:r>
      <w:r>
        <w:rPr>
          <w:rFonts w:hint="eastAsia"/>
          <w:highlight w:val="none"/>
          <w:lang w:eastAsia="zh-CN"/>
        </w:rPr>
        <w:t>%。指标分析如下:</w:t>
      </w:r>
    </w:p>
    <w:tbl>
      <w:tblPr>
        <w:tblStyle w:val="23"/>
        <w:tblpPr w:leftFromText="180" w:rightFromText="180" w:vertAnchor="text" w:horzAnchor="page" w:tblpX="1830" w:tblpY="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440"/>
        <w:gridCol w:w="1425"/>
        <w:gridCol w:w="735"/>
        <w:gridCol w:w="765"/>
        <w:gridCol w:w="1252"/>
      </w:tblGrid>
      <w:tr w14:paraId="78DA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05" w:type="dxa"/>
            <w:tcBorders>
              <w:top w:val="single" w:color="auto" w:sz="4" w:space="0"/>
              <w:left w:val="single" w:color="auto" w:sz="4" w:space="0"/>
              <w:bottom w:val="single" w:color="auto" w:sz="4" w:space="0"/>
              <w:right w:val="single" w:color="auto" w:sz="4" w:space="0"/>
            </w:tcBorders>
            <w:shd w:val="clear" w:color="auto" w:fill="auto"/>
            <w:vAlign w:val="top"/>
          </w:tcPr>
          <w:p w14:paraId="1298FDC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三级指标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344AD9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年度指标值</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14:paraId="17A3E34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实际完成值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top"/>
          </w:tcPr>
          <w:p w14:paraId="5DCE905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346745C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top"/>
          </w:tcPr>
          <w:p w14:paraId="5359CD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100C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5" w:type="dxa"/>
            <w:tcBorders>
              <w:top w:val="single" w:color="auto" w:sz="4" w:space="0"/>
              <w:left w:val="single" w:color="auto" w:sz="4" w:space="0"/>
              <w:bottom w:val="single" w:color="auto" w:sz="4" w:space="0"/>
              <w:right w:val="single" w:color="auto" w:sz="4" w:space="0"/>
            </w:tcBorders>
            <w:shd w:val="clear" w:color="auto" w:fill="auto"/>
            <w:vAlign w:val="top"/>
          </w:tcPr>
          <w:p w14:paraId="2B59C0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成本节约率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128C3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14:paraId="49137E64">
            <w:pPr>
              <w:keepNext w:val="0"/>
              <w:keepLines w:val="0"/>
              <w:widowControl/>
              <w:suppressLineNumbers w:val="0"/>
              <w:ind w:left="0" w:leftChars="0" w:firstLine="0" w:firstLineChars="0"/>
              <w:jc w:val="center"/>
              <w:textAlignment w:val="center"/>
              <w:rPr>
                <w:rFonts w:hint="default" w:cs="仿宋_GB2312"/>
                <w:color w:val="333333"/>
                <w:sz w:val="24"/>
                <w:szCs w:val="24"/>
                <w:highlight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top"/>
          </w:tcPr>
          <w:p w14:paraId="5621ED2D">
            <w:pPr>
              <w:keepNext w:val="0"/>
              <w:keepLines w:val="0"/>
              <w:widowControl/>
              <w:suppressLineNumbers w:val="0"/>
              <w:ind w:left="0" w:leftChars="0" w:firstLine="0" w:firstLineChars="0"/>
              <w:jc w:val="center"/>
              <w:textAlignment w:val="center"/>
              <w:rPr>
                <w:rFonts w:hint="default" w:eastAsia="仿宋_GB2312" w:cs="仿宋_GB2312"/>
                <w:color w:val="000000"/>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5A51BABA">
            <w:pPr>
              <w:keepNext w:val="0"/>
              <w:keepLines w:val="0"/>
              <w:widowControl/>
              <w:suppressLineNumbers w:val="0"/>
              <w:ind w:left="0" w:leftChars="0" w:firstLine="0" w:firstLineChars="0"/>
              <w:jc w:val="center"/>
              <w:textAlignment w:val="center"/>
              <w:rPr>
                <w:rFonts w:hint="default" w:eastAsia="仿宋_GB2312" w:cs="仿宋_GB2312"/>
                <w:color w:val="000000"/>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top"/>
          </w:tcPr>
          <w:p w14:paraId="33012F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1A6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7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9352DCB">
            <w:pPr>
              <w:keepNext w:val="0"/>
              <w:keepLines w:val="0"/>
              <w:widowControl/>
              <w:suppressLineNumbers w:val="0"/>
              <w:ind w:firstLine="482"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Ansi="等线" w:cs="Times New Roman"/>
                <w:b/>
                <w:bCs/>
                <w:sz w:val="24"/>
                <w:szCs w:val="24"/>
                <w:highlight w:val="none"/>
                <w:lang w:bidi="ar"/>
              </w:rPr>
              <w:t>合计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top"/>
          </w:tcPr>
          <w:p w14:paraId="1124A18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6A84EB6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top"/>
          </w:tcPr>
          <w:p w14:paraId="5605A3C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100.00%</w:t>
            </w:r>
          </w:p>
        </w:tc>
      </w:tr>
    </w:tbl>
    <w:p w14:paraId="55334A06">
      <w:pPr>
        <w:rPr>
          <w:rFonts w:hint="eastAsia" w:cs="Times New Roman"/>
          <w:b/>
          <w:bCs/>
          <w:szCs w:val="28"/>
          <w:highlight w:val="none"/>
          <w:lang w:val="en-US" w:eastAsia="zh-CN" w:bidi="ar"/>
        </w:rPr>
      </w:pPr>
    </w:p>
    <w:p w14:paraId="4D63E767">
      <w:pPr>
        <w:rPr>
          <w:rFonts w:hint="eastAsia" w:hAnsi="宋体"/>
          <w:szCs w:val="28"/>
          <w:highlight w:val="none"/>
        </w:rPr>
      </w:pPr>
      <w:r>
        <w:rPr>
          <w:rFonts w:hint="eastAsia" w:cs="Times New Roman"/>
          <w:b/>
          <w:bCs/>
          <w:szCs w:val="28"/>
          <w:highlight w:val="none"/>
          <w:lang w:val="en-US" w:eastAsia="zh-CN" w:bidi="ar"/>
        </w:rPr>
        <w:t>成本节约率：</w:t>
      </w:r>
      <w:r>
        <w:rPr>
          <w:rFonts w:hint="eastAsia" w:hAnsi="宋体"/>
          <w:szCs w:val="28"/>
          <w:highlight w:val="none"/>
          <w:lang w:val="en-US" w:eastAsia="zh-CN"/>
        </w:rPr>
        <w:t>该指标聚焦渭源县检察院检察业务综合保障经费的使用效益。目标设定为成本节约率达100% ，旨在衡量在保障各项检察业务正常开展的前提下，对经费的合理规划与高效运用程度。完成值100%，意味着检察院在办公设备采购、差旅、办案耗材等综合保障支出方面，通过精准预算编制、严格审批流程和资源优化配置等措施，避免了不必要的开支，以最少的经费投入实现了既定的业务目标，彰显了卓越的经费管控能力。</w:t>
      </w:r>
      <w:r>
        <w:rPr>
          <w:rFonts w:hint="eastAsia" w:hAnsi="宋体"/>
          <w:szCs w:val="28"/>
          <w:highlight w:val="none"/>
        </w:rPr>
        <w:t>指标分值</w:t>
      </w:r>
      <w:r>
        <w:rPr>
          <w:rFonts w:hint="eastAsia" w:hAnsi="宋体"/>
          <w:szCs w:val="28"/>
          <w:highlight w:val="none"/>
          <w:lang w:val="en-US" w:eastAsia="zh-CN"/>
        </w:rPr>
        <w:t>20</w:t>
      </w:r>
      <w:r>
        <w:rPr>
          <w:rFonts w:hint="eastAsia" w:hAnsi="宋体"/>
          <w:szCs w:val="28"/>
          <w:highlight w:val="none"/>
        </w:rPr>
        <w:t>分，自评得分</w:t>
      </w:r>
      <w:r>
        <w:rPr>
          <w:rFonts w:hint="eastAsia" w:hAnsi="宋体"/>
          <w:szCs w:val="28"/>
          <w:highlight w:val="none"/>
          <w:lang w:val="en-US" w:eastAsia="zh-CN"/>
        </w:rPr>
        <w:t>20</w:t>
      </w:r>
      <w:r>
        <w:rPr>
          <w:rFonts w:hint="eastAsia" w:hAnsi="宋体"/>
          <w:szCs w:val="28"/>
          <w:highlight w:val="none"/>
        </w:rPr>
        <w:t>分，得分率</w:t>
      </w:r>
      <w:r>
        <w:rPr>
          <w:rFonts w:hint="eastAsia" w:hAnsi="宋体"/>
          <w:szCs w:val="28"/>
          <w:highlight w:val="none"/>
          <w:lang w:val="en-US" w:eastAsia="zh-CN"/>
        </w:rPr>
        <w:t>100%</w:t>
      </w:r>
      <w:r>
        <w:rPr>
          <w:rFonts w:hint="eastAsia" w:hAnsi="宋体"/>
          <w:szCs w:val="28"/>
          <w:highlight w:val="none"/>
        </w:rPr>
        <w:t>。</w:t>
      </w:r>
    </w:p>
    <w:p w14:paraId="439EFAF9">
      <w:pPr>
        <w:numPr>
          <w:ilvl w:val="0"/>
          <w:numId w:val="0"/>
        </w:numPr>
        <w:ind w:firstLine="560" w:firstLineChars="200"/>
        <w:rPr>
          <w:rFonts w:cs="Times New Roman"/>
          <w:szCs w:val="28"/>
          <w:highlight w:val="none"/>
          <w:lang w:bidi="ar"/>
        </w:rPr>
      </w:pPr>
      <w:r>
        <w:rPr>
          <w:rFonts w:hint="eastAsia" w:cs="Times New Roman"/>
          <w:szCs w:val="28"/>
          <w:highlight w:val="none"/>
          <w:lang w:eastAsia="zh-CN" w:bidi="ar"/>
        </w:rPr>
        <w:t>（</w:t>
      </w:r>
      <w:r>
        <w:rPr>
          <w:rFonts w:hint="eastAsia" w:cs="Times New Roman"/>
          <w:szCs w:val="28"/>
          <w:highlight w:val="none"/>
          <w:lang w:val="en-US" w:eastAsia="zh-CN" w:bidi="ar"/>
        </w:rPr>
        <w:t>2</w:t>
      </w:r>
      <w:r>
        <w:rPr>
          <w:rFonts w:hint="eastAsia" w:cs="Times New Roman"/>
          <w:szCs w:val="28"/>
          <w:highlight w:val="none"/>
          <w:lang w:eastAsia="zh-CN" w:bidi="ar"/>
        </w:rPr>
        <w:t>）</w:t>
      </w:r>
      <w:r>
        <w:rPr>
          <w:rFonts w:hint="eastAsia" w:cs="Times New Roman"/>
          <w:szCs w:val="28"/>
          <w:highlight w:val="none"/>
          <w:lang w:bidi="ar"/>
        </w:rPr>
        <w:t>产出指标</w:t>
      </w:r>
    </w:p>
    <w:p w14:paraId="4276B262">
      <w:pPr>
        <w:ind w:firstLine="560"/>
        <w:rPr>
          <w:rFonts w:hint="eastAsia" w:cs="Times New Roman"/>
          <w:szCs w:val="28"/>
          <w:highlight w:val="none"/>
          <w:lang w:bidi="ar"/>
        </w:rPr>
      </w:pPr>
      <w:r>
        <w:rPr>
          <w:rFonts w:hint="eastAsia" w:cs="Times New Roman"/>
          <w:szCs w:val="28"/>
          <w:highlight w:val="none"/>
          <w:lang w:bidi="ar"/>
        </w:rPr>
        <w:t>产出指标包括产出数量指标、质量指标、时效指标</w:t>
      </w:r>
      <w:r>
        <w:rPr>
          <w:rFonts w:hint="eastAsia" w:cs="Times New Roman"/>
          <w:szCs w:val="28"/>
          <w:highlight w:val="none"/>
          <w:lang w:val="en-US" w:eastAsia="zh-CN" w:bidi="ar"/>
        </w:rPr>
        <w:t>3</w:t>
      </w:r>
      <w:r>
        <w:rPr>
          <w:rFonts w:hint="eastAsia" w:cs="Times New Roman"/>
          <w:szCs w:val="28"/>
          <w:highlight w:val="none"/>
          <w:lang w:bidi="ar"/>
        </w:rPr>
        <w:t>个二级指标，指标总分值</w:t>
      </w:r>
      <w:r>
        <w:rPr>
          <w:rFonts w:hint="eastAsia" w:cs="Times New Roman"/>
          <w:szCs w:val="28"/>
          <w:highlight w:val="none"/>
          <w:lang w:val="en-US" w:eastAsia="zh-CN" w:bidi="ar"/>
        </w:rPr>
        <w:t>4</w:t>
      </w:r>
      <w:r>
        <w:rPr>
          <w:rFonts w:hint="eastAsia" w:cs="Times New Roman"/>
          <w:szCs w:val="28"/>
          <w:highlight w:val="none"/>
          <w:lang w:bidi="ar"/>
        </w:rPr>
        <w:t>0分，自评得分</w:t>
      </w:r>
      <w:r>
        <w:rPr>
          <w:rFonts w:hint="eastAsia" w:cs="Times New Roman"/>
          <w:szCs w:val="28"/>
          <w:highlight w:val="none"/>
          <w:lang w:val="en-US" w:eastAsia="zh-CN" w:bidi="ar"/>
        </w:rPr>
        <w:t>38.86</w:t>
      </w:r>
      <w:r>
        <w:rPr>
          <w:rFonts w:hint="eastAsia" w:cs="Times New Roman"/>
          <w:szCs w:val="28"/>
          <w:highlight w:val="none"/>
          <w:lang w:bidi="ar"/>
        </w:rPr>
        <w:t>分，得分率</w:t>
      </w:r>
      <w:r>
        <w:rPr>
          <w:rFonts w:hint="eastAsia" w:cs="Times New Roman"/>
          <w:szCs w:val="28"/>
          <w:highlight w:val="none"/>
          <w:lang w:val="en-US" w:eastAsia="zh-CN" w:bidi="ar"/>
        </w:rPr>
        <w:t>97.15</w:t>
      </w:r>
      <w:r>
        <w:rPr>
          <w:rFonts w:hint="eastAsia" w:cs="Times New Roman"/>
          <w:szCs w:val="28"/>
          <w:highlight w:val="none"/>
          <w:lang w:bidi="ar"/>
        </w:rPr>
        <w:t>%。指标分析如下:</w:t>
      </w:r>
    </w:p>
    <w:tbl>
      <w:tblPr>
        <w:tblStyle w:val="22"/>
        <w:tblW w:w="4997" w:type="pct"/>
        <w:tblInd w:w="0" w:type="dxa"/>
        <w:shd w:val="clear" w:color="auto" w:fill="auto"/>
        <w:tblLayout w:type="autofit"/>
        <w:tblCellMar>
          <w:top w:w="0" w:type="dxa"/>
          <w:left w:w="0" w:type="dxa"/>
          <w:bottom w:w="0" w:type="dxa"/>
          <w:right w:w="0" w:type="dxa"/>
        </w:tblCellMar>
      </w:tblPr>
      <w:tblGrid>
        <w:gridCol w:w="2602"/>
        <w:gridCol w:w="1335"/>
        <w:gridCol w:w="1323"/>
        <w:gridCol w:w="1007"/>
        <w:gridCol w:w="1032"/>
        <w:gridCol w:w="1032"/>
      </w:tblGrid>
      <w:tr w14:paraId="3F10360D">
        <w:tblPrEx>
          <w:shd w:val="clear" w:color="auto" w:fill="auto"/>
        </w:tblPrEx>
        <w:trPr>
          <w:trHeight w:val="571" w:hRule="atLeast"/>
        </w:trPr>
        <w:tc>
          <w:tcPr>
            <w:tcW w:w="1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BCE9D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三级指标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81D69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年度指标值</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803DA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实际完成值</w:t>
            </w:r>
          </w:p>
        </w:tc>
        <w:tc>
          <w:tcPr>
            <w:tcW w:w="60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14:paraId="6660533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3103D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指标得分</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EE59A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4F4E1DC6">
        <w:tblPrEx>
          <w:tblCellMar>
            <w:top w:w="0" w:type="dxa"/>
            <w:left w:w="0" w:type="dxa"/>
            <w:bottom w:w="0" w:type="dxa"/>
            <w:right w:w="0" w:type="dxa"/>
          </w:tblCellMar>
        </w:tblPrEx>
        <w:trPr>
          <w:trHeight w:val="571" w:hRule="atLeast"/>
        </w:trPr>
        <w:tc>
          <w:tcPr>
            <w:tcW w:w="15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333FC">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服务职工人数</w:t>
            </w:r>
          </w:p>
        </w:tc>
        <w:tc>
          <w:tcPr>
            <w:tcW w:w="8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1F63A">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=45人</w:t>
            </w:r>
          </w:p>
        </w:tc>
        <w:tc>
          <w:tcPr>
            <w:tcW w:w="7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B17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60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9B30567">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F7C51">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6BC09">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0D62ECA3">
        <w:tblPrEx>
          <w:shd w:val="clear" w:color="auto" w:fill="auto"/>
          <w:tblCellMar>
            <w:top w:w="0" w:type="dxa"/>
            <w:left w:w="0" w:type="dxa"/>
            <w:bottom w:w="0" w:type="dxa"/>
            <w:right w:w="0" w:type="dxa"/>
          </w:tblCellMar>
        </w:tblPrEx>
        <w:trPr>
          <w:trHeight w:val="571" w:hRule="atLeast"/>
        </w:trPr>
        <w:tc>
          <w:tcPr>
            <w:tcW w:w="15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9D0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每周绿化养护次数</w:t>
            </w:r>
          </w:p>
        </w:tc>
        <w:tc>
          <w:tcPr>
            <w:tcW w:w="8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813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=3次</w:t>
            </w:r>
          </w:p>
        </w:tc>
        <w:tc>
          <w:tcPr>
            <w:tcW w:w="7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B81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0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83EEB0A">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0A8CE">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02937">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1C35E189">
        <w:tblPrEx>
          <w:tblCellMar>
            <w:top w:w="0" w:type="dxa"/>
            <w:left w:w="0" w:type="dxa"/>
            <w:bottom w:w="0" w:type="dxa"/>
            <w:right w:w="0" w:type="dxa"/>
          </w:tblCellMar>
        </w:tblPrEx>
        <w:trPr>
          <w:trHeight w:val="571" w:hRule="atLeast"/>
        </w:trPr>
        <w:tc>
          <w:tcPr>
            <w:tcW w:w="15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226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维护单位面积</w:t>
            </w:r>
          </w:p>
        </w:tc>
        <w:tc>
          <w:tcPr>
            <w:tcW w:w="8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E38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&gt;=6000平方米</w:t>
            </w:r>
          </w:p>
        </w:tc>
        <w:tc>
          <w:tcPr>
            <w:tcW w:w="7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26D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60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2AA33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A11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97E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090452C">
        <w:tblPrEx>
          <w:shd w:val="clear" w:color="auto" w:fill="auto"/>
          <w:tblCellMar>
            <w:top w:w="0" w:type="dxa"/>
            <w:left w:w="0" w:type="dxa"/>
            <w:bottom w:w="0" w:type="dxa"/>
            <w:right w:w="0" w:type="dxa"/>
          </w:tblCellMar>
        </w:tblPrEx>
        <w:trPr>
          <w:trHeight w:val="571" w:hRule="atLeast"/>
        </w:trPr>
        <w:tc>
          <w:tcPr>
            <w:tcW w:w="15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DD3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办公环境保洁率</w:t>
            </w:r>
          </w:p>
        </w:tc>
        <w:tc>
          <w:tcPr>
            <w:tcW w:w="8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B3A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&gt;=98%</w:t>
            </w:r>
          </w:p>
        </w:tc>
        <w:tc>
          <w:tcPr>
            <w:tcW w:w="7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ACF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60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56EE0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DDE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71C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F745956">
        <w:tblPrEx>
          <w:tblCellMar>
            <w:top w:w="0" w:type="dxa"/>
            <w:left w:w="0" w:type="dxa"/>
            <w:bottom w:w="0" w:type="dxa"/>
            <w:right w:w="0" w:type="dxa"/>
          </w:tblCellMar>
        </w:tblPrEx>
        <w:trPr>
          <w:trHeight w:val="571" w:hRule="atLeast"/>
        </w:trPr>
        <w:tc>
          <w:tcPr>
            <w:tcW w:w="15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366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公共设施维护保养完好率</w:t>
            </w:r>
          </w:p>
        </w:tc>
        <w:tc>
          <w:tcPr>
            <w:tcW w:w="8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5B8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881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60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8D211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075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EE7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91F8323">
        <w:tblPrEx>
          <w:shd w:val="clear" w:color="auto" w:fill="auto"/>
          <w:tblCellMar>
            <w:top w:w="0" w:type="dxa"/>
            <w:left w:w="0" w:type="dxa"/>
            <w:bottom w:w="0" w:type="dxa"/>
            <w:right w:w="0" w:type="dxa"/>
          </w:tblCellMar>
        </w:tblPrEx>
        <w:trPr>
          <w:trHeight w:val="571" w:hRule="atLeast"/>
        </w:trPr>
        <w:tc>
          <w:tcPr>
            <w:tcW w:w="15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A89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提高租赁效率</w:t>
            </w:r>
          </w:p>
        </w:tc>
        <w:tc>
          <w:tcPr>
            <w:tcW w:w="8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0E5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7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64B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0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B67FA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E13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5.14</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723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90.02%</w:t>
            </w:r>
          </w:p>
        </w:tc>
      </w:tr>
      <w:tr w14:paraId="4693BCC1">
        <w:tblPrEx>
          <w:shd w:val="clear" w:color="auto" w:fill="auto"/>
          <w:tblCellMar>
            <w:top w:w="0" w:type="dxa"/>
            <w:left w:w="0" w:type="dxa"/>
            <w:bottom w:w="0" w:type="dxa"/>
            <w:right w:w="0" w:type="dxa"/>
          </w:tblCellMar>
        </w:tblPrEx>
        <w:trPr>
          <w:trHeight w:val="571" w:hRule="atLeast"/>
        </w:trPr>
        <w:tc>
          <w:tcPr>
            <w:tcW w:w="15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489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按季度对物业服务进行考核</w:t>
            </w:r>
          </w:p>
        </w:tc>
        <w:tc>
          <w:tcPr>
            <w:tcW w:w="8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1F3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良好</w:t>
            </w:r>
          </w:p>
        </w:tc>
        <w:tc>
          <w:tcPr>
            <w:tcW w:w="7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177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0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F44203A">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5.74</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39C10">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5.17</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A8734">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90.07%</w:t>
            </w:r>
          </w:p>
        </w:tc>
      </w:tr>
      <w:tr w14:paraId="373EF8EC">
        <w:tblPrEx>
          <w:shd w:val="clear" w:color="auto" w:fill="auto"/>
          <w:tblCellMar>
            <w:top w:w="0" w:type="dxa"/>
            <w:left w:w="0" w:type="dxa"/>
            <w:bottom w:w="0" w:type="dxa"/>
            <w:right w:w="0" w:type="dxa"/>
          </w:tblCellMar>
        </w:tblPrEx>
        <w:trPr>
          <w:trHeight w:val="571" w:hRule="atLeast"/>
        </w:trPr>
        <w:tc>
          <w:tcPr>
            <w:tcW w:w="3157"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19C141B">
            <w:pPr>
              <w:keepNext w:val="0"/>
              <w:keepLines w:val="0"/>
              <w:widowControl/>
              <w:suppressLineNumbers w:val="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合计</w:t>
            </w:r>
          </w:p>
        </w:tc>
        <w:tc>
          <w:tcPr>
            <w:tcW w:w="60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top"/>
          </w:tcPr>
          <w:p w14:paraId="7E985A57">
            <w:pPr>
              <w:keepNext w:val="0"/>
              <w:keepLines w:val="0"/>
              <w:widowControl/>
              <w:suppressLineNumbers w:val="0"/>
              <w:ind w:left="0" w:leftChars="0" w:firstLine="0" w:firstLineChars="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40</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4A8D7A8">
            <w:pPr>
              <w:keepNext w:val="0"/>
              <w:keepLines w:val="0"/>
              <w:widowControl/>
              <w:suppressLineNumbers w:val="0"/>
              <w:ind w:left="0" w:leftChars="0" w:firstLine="0" w:firstLineChars="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38.86</w:t>
            </w:r>
          </w:p>
        </w:tc>
        <w:tc>
          <w:tcPr>
            <w:tcW w:w="6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8E6A018">
            <w:pPr>
              <w:keepNext w:val="0"/>
              <w:keepLines w:val="0"/>
              <w:widowControl/>
              <w:suppressLineNumbers w:val="0"/>
              <w:ind w:left="0" w:leftChars="0" w:firstLine="0" w:firstLineChars="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97.15%</w:t>
            </w:r>
          </w:p>
        </w:tc>
      </w:tr>
    </w:tbl>
    <w:p w14:paraId="15C73200">
      <w:pPr>
        <w:ind w:left="0" w:leftChars="0" w:firstLine="0" w:firstLineChars="0"/>
        <w:rPr>
          <w:rFonts w:hint="eastAsia" w:cs="Times New Roman"/>
          <w:b/>
          <w:bCs/>
          <w:szCs w:val="28"/>
          <w:highlight w:val="none"/>
          <w:lang w:val="en-US" w:eastAsia="zh-CN" w:bidi="ar"/>
        </w:rPr>
      </w:pPr>
    </w:p>
    <w:p w14:paraId="48036ECE">
      <w:pPr>
        <w:rPr>
          <w:rFonts w:hint="eastAsia" w:cs="Times New Roman"/>
          <w:b w:val="0"/>
          <w:bCs w:val="0"/>
          <w:szCs w:val="28"/>
          <w:highlight w:val="none"/>
          <w:lang w:val="en-US" w:eastAsia="zh-CN" w:bidi="ar"/>
        </w:rPr>
      </w:pPr>
      <w:r>
        <w:rPr>
          <w:rFonts w:hint="eastAsia" w:cs="Times New Roman"/>
          <w:b/>
          <w:bCs/>
          <w:szCs w:val="28"/>
          <w:highlight w:val="none"/>
          <w:lang w:val="en-US" w:eastAsia="zh-CN" w:bidi="ar"/>
        </w:rPr>
        <w:t>服务职工人数：</w:t>
      </w:r>
      <w:r>
        <w:rPr>
          <w:rFonts w:hint="eastAsia" w:cs="Times New Roman"/>
          <w:b w:val="0"/>
          <w:bCs w:val="0"/>
          <w:szCs w:val="28"/>
          <w:highlight w:val="none"/>
          <w:lang w:val="en-US" w:eastAsia="zh-CN" w:bidi="ar"/>
        </w:rPr>
        <w:t>该指标衡量检察院服务的职工数量。年度指标为45人，实际完成值45人，表明精准完成了既定服务人数目标，体现了对职工服务的保障力度。该指标</w:t>
      </w:r>
      <w:r>
        <w:rPr>
          <w:rFonts w:hint="eastAsia" w:cs="Times New Roman"/>
          <w:b w:val="0"/>
          <w:bCs w:val="0"/>
          <w:szCs w:val="28"/>
          <w:highlight w:val="none"/>
          <w:lang w:val="en-US" w:eastAsia="zh-CN" w:bidi="ar"/>
        </w:rPr>
        <w:t>分值5.71，指标得分5.71，得分</w:t>
      </w:r>
      <w:r>
        <w:rPr>
          <w:rFonts w:hint="eastAsia" w:cs="Times New Roman"/>
          <w:b w:val="0"/>
          <w:bCs w:val="0"/>
          <w:szCs w:val="28"/>
          <w:highlight w:val="none"/>
          <w:lang w:val="en-US" w:eastAsia="zh-CN" w:bidi="ar"/>
        </w:rPr>
        <w:t>为100%。</w:t>
      </w:r>
    </w:p>
    <w:p w14:paraId="4E8AE0C2">
      <w:pPr>
        <w:rPr>
          <w:rFonts w:hint="eastAsia" w:cs="Times New Roman"/>
          <w:b w:val="0"/>
          <w:bCs w:val="0"/>
          <w:szCs w:val="28"/>
          <w:highlight w:val="none"/>
          <w:lang w:val="en-US" w:eastAsia="zh-CN" w:bidi="ar"/>
        </w:rPr>
      </w:pPr>
      <w:r>
        <w:rPr>
          <w:rFonts w:hint="eastAsia" w:cs="Times New Roman"/>
          <w:b/>
          <w:bCs/>
          <w:szCs w:val="28"/>
          <w:highlight w:val="none"/>
          <w:lang w:val="en-US" w:eastAsia="zh-CN" w:bidi="ar"/>
        </w:rPr>
        <w:t>每周绿化养护次数：</w:t>
      </w:r>
      <w:r>
        <w:rPr>
          <w:rFonts w:hint="eastAsia" w:cs="Times New Roman"/>
          <w:b w:val="0"/>
          <w:bCs w:val="0"/>
          <w:szCs w:val="28"/>
          <w:highlight w:val="none"/>
          <w:lang w:val="en-US" w:eastAsia="zh-CN" w:bidi="ar"/>
        </w:rPr>
        <w:t>反映每周对检察院区域内绿化进行养护的频率。年度指标是3次，实际完成3次，分值、得分均为5.71，得分率100%。说明绿化养护工作按计划常态化开展，维护了办公环境的绿化水平。</w:t>
      </w:r>
    </w:p>
    <w:p w14:paraId="3BA896F0">
      <w:pPr>
        <w:rPr>
          <w:rFonts w:hint="eastAsia" w:cs="Times New Roman"/>
          <w:b w:val="0"/>
          <w:bCs w:val="0"/>
          <w:szCs w:val="28"/>
          <w:highlight w:val="none"/>
          <w:lang w:val="en-US" w:eastAsia="zh-CN" w:bidi="ar"/>
        </w:rPr>
      </w:pPr>
      <w:r>
        <w:rPr>
          <w:rFonts w:hint="eastAsia" w:cs="Times New Roman"/>
          <w:b/>
          <w:bCs/>
          <w:szCs w:val="28"/>
          <w:highlight w:val="none"/>
          <w:lang w:val="en-US" w:eastAsia="zh-CN" w:bidi="ar"/>
        </w:rPr>
        <w:t>维护单位面积：</w:t>
      </w:r>
      <w:r>
        <w:rPr>
          <w:rFonts w:hint="eastAsia" w:cs="Times New Roman"/>
          <w:b w:val="0"/>
          <w:bCs w:val="0"/>
          <w:szCs w:val="28"/>
          <w:highlight w:val="none"/>
          <w:lang w:val="en-US" w:eastAsia="zh-CN" w:bidi="ar"/>
        </w:rPr>
        <w:t>指需要维护的区域面积规模。年度指标为大于等于6000平方米，实际完成6000平方米，分值与得分均为5.71，得分率100%，表明达到了面积维护的目标要求，确保了相关区域的正常维护。</w:t>
      </w:r>
    </w:p>
    <w:p w14:paraId="1031226A">
      <w:pPr>
        <w:rPr>
          <w:rFonts w:hint="eastAsia" w:cs="Times New Roman"/>
          <w:b w:val="0"/>
          <w:bCs w:val="0"/>
          <w:szCs w:val="28"/>
          <w:highlight w:val="none"/>
          <w:lang w:val="en-US" w:eastAsia="zh-CN" w:bidi="ar"/>
        </w:rPr>
      </w:pPr>
      <w:r>
        <w:rPr>
          <w:rFonts w:hint="eastAsia" w:cs="Times New Roman"/>
          <w:b/>
          <w:bCs/>
          <w:szCs w:val="28"/>
          <w:highlight w:val="none"/>
          <w:lang w:val="en-US" w:eastAsia="zh-CN" w:bidi="ar"/>
        </w:rPr>
        <w:t>办公环境保洁率：</w:t>
      </w:r>
      <w:r>
        <w:rPr>
          <w:rFonts w:hint="eastAsia" w:cs="Times New Roman"/>
          <w:b w:val="0"/>
          <w:bCs w:val="0"/>
          <w:szCs w:val="28"/>
          <w:highlight w:val="none"/>
          <w:lang w:val="en-US" w:eastAsia="zh-CN" w:bidi="ar"/>
        </w:rPr>
        <w:t>用于评估办公环境的清洁程度。年度指标大于等于98%，实际完成98%，分值、得分均为5.71，得分率100%，说明办公环境保洁工作达到预期标准，营造了整洁的办公环境。</w:t>
      </w:r>
    </w:p>
    <w:p w14:paraId="0E77CFAE">
      <w:pPr>
        <w:rPr>
          <w:rFonts w:hint="eastAsia" w:cs="Times New Roman"/>
          <w:b w:val="0"/>
          <w:bCs w:val="0"/>
          <w:szCs w:val="28"/>
          <w:highlight w:val="none"/>
          <w:lang w:val="en-US" w:eastAsia="zh-CN" w:bidi="ar"/>
        </w:rPr>
      </w:pPr>
      <w:r>
        <w:rPr>
          <w:rFonts w:hint="eastAsia" w:cs="Times New Roman"/>
          <w:b/>
          <w:bCs/>
          <w:szCs w:val="28"/>
          <w:highlight w:val="none"/>
          <w:lang w:val="en-US" w:eastAsia="zh-CN" w:bidi="ar"/>
        </w:rPr>
        <w:t>公共设施维护保养完好率：</w:t>
      </w:r>
      <w:r>
        <w:rPr>
          <w:rFonts w:hint="eastAsia" w:cs="Times New Roman"/>
          <w:b w:val="0"/>
          <w:bCs w:val="0"/>
          <w:szCs w:val="28"/>
          <w:highlight w:val="none"/>
          <w:lang w:val="en-US" w:eastAsia="zh-CN" w:bidi="ar"/>
        </w:rPr>
        <w:t>衡量公共设施维护保养的质量。年度指标大于等于90%，实际完成98%，分值、得分均为5.71，得分率100%，表明公共设施得到了良好的维护，保障了正常使用。</w:t>
      </w:r>
    </w:p>
    <w:p w14:paraId="62306B4F">
      <w:pPr>
        <w:rPr>
          <w:rFonts w:hint="eastAsia" w:cs="Times New Roman"/>
          <w:b w:val="0"/>
          <w:bCs w:val="0"/>
          <w:szCs w:val="28"/>
          <w:highlight w:val="none"/>
          <w:lang w:val="en-US" w:eastAsia="zh-CN" w:bidi="ar"/>
        </w:rPr>
      </w:pPr>
      <w:r>
        <w:rPr>
          <w:rFonts w:hint="eastAsia" w:cs="Times New Roman"/>
          <w:b/>
          <w:bCs/>
          <w:szCs w:val="28"/>
          <w:highlight w:val="none"/>
          <w:lang w:val="en-US" w:eastAsia="zh-CN" w:bidi="ar"/>
        </w:rPr>
        <w:t>提高租赁效率：</w:t>
      </w:r>
      <w:r>
        <w:rPr>
          <w:rFonts w:hint="eastAsia" w:cs="Times New Roman"/>
          <w:b w:val="0"/>
          <w:bCs w:val="0"/>
          <w:szCs w:val="28"/>
          <w:highlight w:val="none"/>
          <w:lang w:val="en-US" w:eastAsia="zh-CN" w:bidi="ar"/>
        </w:rPr>
        <w:t>体现租赁工作的效能提升情况。虽实际完成处于目标区间内，但指标得分5.14，得分率90.02%，说明在租赁效率提升方面有成效，但仍存在一定的进步空间。</w:t>
      </w:r>
    </w:p>
    <w:p w14:paraId="5EA232DC">
      <w:pPr>
        <w:rPr>
          <w:rFonts w:hint="eastAsia" w:cs="Times New Roman"/>
          <w:b w:val="0"/>
          <w:bCs w:val="0"/>
          <w:szCs w:val="28"/>
          <w:highlight w:val="none"/>
          <w:lang w:val="en-US" w:eastAsia="zh-CN" w:bidi="ar"/>
        </w:rPr>
      </w:pPr>
      <w:r>
        <w:rPr>
          <w:rFonts w:hint="eastAsia" w:cs="Times New Roman"/>
          <w:b/>
          <w:bCs/>
          <w:szCs w:val="28"/>
          <w:highlight w:val="none"/>
          <w:lang w:val="en-US" w:eastAsia="zh-CN" w:bidi="ar"/>
        </w:rPr>
        <w:t>按季度对物业服务进行考核：</w:t>
      </w:r>
      <w:r>
        <w:rPr>
          <w:rFonts w:hint="eastAsia" w:cs="Times New Roman"/>
          <w:b w:val="0"/>
          <w:bCs w:val="0"/>
          <w:szCs w:val="28"/>
          <w:highlight w:val="none"/>
          <w:lang w:val="en-US" w:eastAsia="zh-CN" w:bidi="ar"/>
        </w:rPr>
        <w:t>表示对物业服务考核的及时性和有效性。分值5.74，指标得分5.17，得分率90.07%，说明考核工作按季度落实，但在考核效果或细节方面还可优化。</w:t>
      </w:r>
    </w:p>
    <w:p w14:paraId="01C7E6D9">
      <w:pPr>
        <w:numPr>
          <w:ilvl w:val="0"/>
          <w:numId w:val="1"/>
        </w:numPr>
        <w:ind w:left="0" w:leftChars="0" w:firstLine="560" w:firstLineChars="200"/>
        <w:rPr>
          <w:rFonts w:hint="eastAsia" w:cs="Times New Roman"/>
          <w:szCs w:val="28"/>
          <w:highlight w:val="none"/>
          <w:lang w:bidi="ar"/>
        </w:rPr>
      </w:pPr>
      <w:r>
        <w:rPr>
          <w:rFonts w:hint="eastAsia" w:cs="Times New Roman"/>
          <w:szCs w:val="28"/>
          <w:highlight w:val="none"/>
          <w:lang w:bidi="ar"/>
        </w:rPr>
        <w:t>效益指标</w:t>
      </w:r>
    </w:p>
    <w:p w14:paraId="399BE262">
      <w:pPr>
        <w:ind w:firstLine="560"/>
        <w:rPr>
          <w:rFonts w:cs="Times New Roman"/>
          <w:color w:val="000000" w:themeColor="text1"/>
          <w:szCs w:val="28"/>
          <w:highlight w:val="none"/>
          <w:lang w:bidi="ar"/>
          <w14:textFill>
            <w14:solidFill>
              <w14:schemeClr w14:val="tx1"/>
            </w14:solidFill>
          </w14:textFill>
        </w:rPr>
      </w:pPr>
      <w:r>
        <w:rPr>
          <w:rFonts w:cs="Times New Roman"/>
          <w:szCs w:val="28"/>
          <w:highlight w:val="none"/>
          <w:lang w:bidi="ar"/>
        </w:rPr>
        <w:t>本项目主要考虑</w:t>
      </w:r>
      <w:r>
        <w:rPr>
          <w:rFonts w:hint="eastAsia" w:cs="Times New Roman"/>
          <w:szCs w:val="28"/>
          <w:highlight w:val="none"/>
          <w:lang w:bidi="ar"/>
        </w:rPr>
        <w:t>经济效益指标、社会效益</w:t>
      </w:r>
      <w:r>
        <w:rPr>
          <w:rFonts w:cs="Times New Roman"/>
          <w:szCs w:val="28"/>
          <w:highlight w:val="none"/>
          <w:lang w:bidi="ar"/>
        </w:rPr>
        <w:t>。</w:t>
      </w:r>
      <w:r>
        <w:rPr>
          <w:rFonts w:cs="Times New Roman"/>
          <w:color w:val="000000" w:themeColor="text1"/>
          <w:szCs w:val="28"/>
          <w:highlight w:val="none"/>
          <w:lang w:bidi="ar"/>
          <w14:textFill>
            <w14:solidFill>
              <w14:schemeClr w14:val="tx1"/>
            </w14:solidFill>
          </w14:textFill>
        </w:rPr>
        <w:t>总分值</w:t>
      </w:r>
      <w:r>
        <w:rPr>
          <w:rFonts w:hint="eastAsia" w:cs="Times New Roman"/>
          <w:color w:val="000000" w:themeColor="text1"/>
          <w:szCs w:val="28"/>
          <w:highlight w:val="none"/>
          <w:lang w:val="en-US" w:eastAsia="zh-CN" w:bidi="ar"/>
          <w14:textFill>
            <w14:solidFill>
              <w14:schemeClr w14:val="tx1"/>
            </w14:solidFill>
          </w14:textFill>
        </w:rPr>
        <w:t>2</w:t>
      </w:r>
      <w:r>
        <w:rPr>
          <w:rFonts w:hint="eastAsia" w:cs="Times New Roman"/>
          <w:color w:val="000000" w:themeColor="text1"/>
          <w:szCs w:val="28"/>
          <w:highlight w:val="none"/>
          <w:lang w:bidi="ar"/>
          <w14:textFill>
            <w14:solidFill>
              <w14:schemeClr w14:val="tx1"/>
            </w14:solidFill>
          </w14:textFill>
        </w:rPr>
        <w:t>0</w:t>
      </w:r>
      <w:r>
        <w:rPr>
          <w:rFonts w:cs="Times New Roman"/>
          <w:color w:val="000000" w:themeColor="text1"/>
          <w:szCs w:val="28"/>
          <w:highlight w:val="none"/>
          <w:lang w:bidi="ar"/>
          <w14:textFill>
            <w14:solidFill>
              <w14:schemeClr w14:val="tx1"/>
            </w14:solidFill>
          </w14:textFill>
        </w:rPr>
        <w:t>分，得分</w:t>
      </w:r>
      <w:r>
        <w:rPr>
          <w:rFonts w:hint="eastAsia" w:cs="Times New Roman"/>
          <w:color w:val="000000" w:themeColor="text1"/>
          <w:szCs w:val="28"/>
          <w:highlight w:val="none"/>
          <w:lang w:val="en-US" w:eastAsia="zh-CN" w:bidi="ar"/>
          <w14:textFill>
            <w14:solidFill>
              <w14:schemeClr w14:val="tx1"/>
            </w14:solidFill>
          </w14:textFill>
        </w:rPr>
        <w:t>17.99</w:t>
      </w:r>
      <w:r>
        <w:rPr>
          <w:rFonts w:cs="Times New Roman"/>
          <w:color w:val="000000" w:themeColor="text1"/>
          <w:szCs w:val="28"/>
          <w:highlight w:val="none"/>
          <w:lang w:bidi="ar"/>
          <w14:textFill>
            <w14:solidFill>
              <w14:schemeClr w14:val="tx1"/>
            </w14:solidFill>
          </w14:textFill>
        </w:rPr>
        <w:t>分，得分率</w:t>
      </w:r>
      <w:r>
        <w:rPr>
          <w:rFonts w:hint="eastAsia" w:cs="Times New Roman"/>
          <w:color w:val="000000" w:themeColor="text1"/>
          <w:szCs w:val="28"/>
          <w:highlight w:val="none"/>
          <w:lang w:val="en-US" w:eastAsia="zh-CN" w:bidi="ar"/>
          <w14:textFill>
            <w14:solidFill>
              <w14:schemeClr w14:val="tx1"/>
            </w14:solidFill>
          </w14:textFill>
        </w:rPr>
        <w:t>89.95</w:t>
      </w:r>
      <w:r>
        <w:rPr>
          <w:rFonts w:cs="Times New Roman"/>
          <w:color w:val="000000" w:themeColor="text1"/>
          <w:szCs w:val="28"/>
          <w:highlight w:val="none"/>
          <w:lang w:bidi="ar"/>
          <w14:textFill>
            <w14:solidFill>
              <w14:schemeClr w14:val="tx1"/>
            </w14:solidFill>
          </w14:textFill>
        </w:rPr>
        <w:t>%。</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1665"/>
        <w:gridCol w:w="1455"/>
        <w:gridCol w:w="690"/>
        <w:gridCol w:w="862"/>
        <w:gridCol w:w="1009"/>
      </w:tblGrid>
      <w:tr w14:paraId="5B63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41" w:type="dxa"/>
            <w:tcBorders>
              <w:top w:val="single" w:color="auto" w:sz="4" w:space="0"/>
              <w:left w:val="single" w:color="auto" w:sz="4" w:space="0"/>
              <w:bottom w:val="single" w:color="auto" w:sz="4" w:space="0"/>
              <w:right w:val="single" w:color="auto" w:sz="4" w:space="0"/>
            </w:tcBorders>
            <w:shd w:val="clear" w:color="auto" w:fill="auto"/>
            <w:vAlign w:val="top"/>
          </w:tcPr>
          <w:p w14:paraId="575BED2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三级指标</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top"/>
          </w:tcPr>
          <w:p w14:paraId="2F5D1EF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年度指标值</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top"/>
          </w:tcPr>
          <w:p w14:paraId="72CA948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实际完成值</w:t>
            </w:r>
          </w:p>
        </w:tc>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14:paraId="1007AA4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862" w:type="dxa"/>
            <w:tcBorders>
              <w:top w:val="single" w:color="auto" w:sz="4" w:space="0"/>
              <w:left w:val="single" w:color="auto" w:sz="4" w:space="0"/>
              <w:bottom w:val="single" w:color="auto" w:sz="4" w:space="0"/>
              <w:right w:val="single" w:color="auto" w:sz="4" w:space="0"/>
            </w:tcBorders>
            <w:shd w:val="clear" w:color="auto" w:fill="auto"/>
            <w:vAlign w:val="top"/>
          </w:tcPr>
          <w:p w14:paraId="075161A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14:paraId="4D0C577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7FD2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Borders>
              <w:top w:val="single" w:color="auto" w:sz="4" w:space="0"/>
              <w:left w:val="single" w:color="auto" w:sz="4" w:space="0"/>
              <w:bottom w:val="single" w:color="auto" w:sz="4" w:space="0"/>
              <w:right w:val="single" w:color="auto" w:sz="4" w:space="0"/>
            </w:tcBorders>
            <w:shd w:val="clear" w:color="auto" w:fill="auto"/>
            <w:vAlign w:val="center"/>
          </w:tcPr>
          <w:p w14:paraId="38C691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是否控制在批复概算内</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6CB2F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D9343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390FFA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9077B0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841F08D">
            <w:pPr>
              <w:keepNext w:val="0"/>
              <w:keepLines w:val="0"/>
              <w:widowControl/>
              <w:suppressLineNumbers w:val="0"/>
              <w:ind w:left="0" w:leftChars="0" w:firstLine="0" w:firstLineChars="0"/>
              <w:jc w:val="center"/>
              <w:textAlignment w:val="center"/>
              <w:rPr>
                <w:rFonts w:cs="仿宋_GB2312"/>
                <w:color w:val="000000"/>
                <w:sz w:val="24"/>
                <w:szCs w:val="24"/>
                <w:highlight w:val="none"/>
              </w:rPr>
            </w:pPr>
            <w:r>
              <w:rPr>
                <w:rFonts w:hint="eastAsia" w:ascii="宋体" w:hAnsi="宋体" w:eastAsia="宋体" w:cs="宋体"/>
                <w:i w:val="0"/>
                <w:iCs w:val="0"/>
                <w:color w:val="000000"/>
                <w:kern w:val="0"/>
                <w:sz w:val="20"/>
                <w:szCs w:val="20"/>
                <w:u w:val="none"/>
                <w:lang w:val="en-US" w:eastAsia="zh-CN" w:bidi="ar"/>
              </w:rPr>
              <w:t>89.96%</w:t>
            </w:r>
          </w:p>
        </w:tc>
      </w:tr>
      <w:tr w14:paraId="26B0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Borders>
              <w:top w:val="single" w:color="auto" w:sz="4" w:space="0"/>
              <w:left w:val="single" w:color="auto" w:sz="4" w:space="0"/>
              <w:bottom w:val="single" w:color="auto" w:sz="4" w:space="0"/>
              <w:right w:val="single" w:color="auto" w:sz="4" w:space="0"/>
            </w:tcBorders>
            <w:shd w:val="clear" w:color="auto" w:fill="auto"/>
            <w:vAlign w:val="center"/>
          </w:tcPr>
          <w:p w14:paraId="54AF0D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本单位相关工作正常开展</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07AD6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得到有效保障</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B622D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0F969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50425C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2ABBD9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5C53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Borders>
              <w:top w:val="single" w:color="auto" w:sz="4" w:space="0"/>
              <w:left w:val="single" w:color="auto" w:sz="4" w:space="0"/>
              <w:bottom w:val="single" w:color="auto" w:sz="4" w:space="0"/>
              <w:right w:val="single" w:color="auto" w:sz="4" w:space="0"/>
            </w:tcBorders>
            <w:shd w:val="clear" w:color="auto" w:fill="auto"/>
            <w:vAlign w:val="center"/>
          </w:tcPr>
          <w:p w14:paraId="0ED09F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节能减排</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663EBB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A6C3F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ECAB7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1B454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ABFE3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89.94%</w:t>
            </w:r>
          </w:p>
        </w:tc>
      </w:tr>
      <w:tr w14:paraId="3EB7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DB8F9F0">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bidi="ar"/>
              </w:rPr>
              <w:t>合计</w:t>
            </w:r>
          </w:p>
        </w:tc>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14:paraId="0E3C32BD">
            <w:pPr>
              <w:spacing w:line="240" w:lineRule="auto"/>
              <w:ind w:firstLine="0" w:firstLineChars="0"/>
              <w:jc w:val="both"/>
              <w:rPr>
                <w:rFonts w:cs="仿宋_GB2312"/>
                <w:b/>
                <w:bCs/>
                <w:sz w:val="24"/>
                <w:szCs w:val="24"/>
                <w:highlight w:val="none"/>
              </w:rPr>
            </w:pPr>
            <w:r>
              <w:rPr>
                <w:rFonts w:hint="eastAsia" w:cs="仿宋_GB2312"/>
                <w:b/>
                <w:bCs/>
                <w:sz w:val="24"/>
                <w:szCs w:val="24"/>
                <w:highlight w:val="none"/>
                <w:lang w:val="en-US" w:eastAsia="zh-CN"/>
              </w:rPr>
              <w:t>2</w:t>
            </w:r>
            <w:r>
              <w:rPr>
                <w:rFonts w:hint="eastAsia" w:cs="仿宋_GB2312"/>
                <w:b/>
                <w:bCs/>
                <w:sz w:val="24"/>
                <w:szCs w:val="24"/>
                <w:highlight w:val="none"/>
              </w:rPr>
              <w:t>0</w:t>
            </w:r>
          </w:p>
        </w:tc>
        <w:tc>
          <w:tcPr>
            <w:tcW w:w="862" w:type="dxa"/>
            <w:tcBorders>
              <w:top w:val="single" w:color="auto" w:sz="4" w:space="0"/>
              <w:left w:val="single" w:color="auto" w:sz="4" w:space="0"/>
              <w:bottom w:val="single" w:color="auto" w:sz="4" w:space="0"/>
              <w:right w:val="single" w:color="auto" w:sz="4" w:space="0"/>
            </w:tcBorders>
            <w:shd w:val="clear" w:color="auto" w:fill="auto"/>
            <w:vAlign w:val="top"/>
          </w:tcPr>
          <w:p w14:paraId="4951F017">
            <w:pPr>
              <w:spacing w:line="240" w:lineRule="auto"/>
              <w:ind w:firstLine="0" w:firstLineChars="0"/>
              <w:jc w:val="both"/>
              <w:rPr>
                <w:rFonts w:hint="default" w:eastAsia="仿宋_GB2312" w:cs="仿宋_GB2312"/>
                <w:b/>
                <w:bCs/>
                <w:sz w:val="24"/>
                <w:szCs w:val="24"/>
                <w:highlight w:val="none"/>
                <w:lang w:val="en-US" w:eastAsia="zh-CN"/>
              </w:rPr>
            </w:pPr>
            <w:r>
              <w:rPr>
                <w:rFonts w:hint="eastAsia" w:cs="仿宋_GB2312"/>
                <w:b/>
                <w:bCs/>
                <w:sz w:val="24"/>
                <w:szCs w:val="24"/>
                <w:highlight w:val="none"/>
                <w:lang w:val="en-US" w:eastAsia="zh-CN"/>
              </w:rPr>
              <w:t>17.99</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14:paraId="0A45A63D">
            <w:pPr>
              <w:spacing w:line="240" w:lineRule="auto"/>
              <w:ind w:firstLine="0" w:firstLineChars="0"/>
              <w:jc w:val="center"/>
              <w:rPr>
                <w:rFonts w:hAnsi="等线"/>
                <w:b/>
                <w:bCs/>
                <w:sz w:val="24"/>
                <w:szCs w:val="24"/>
                <w:highlight w:val="none"/>
              </w:rPr>
            </w:pPr>
            <w:r>
              <w:rPr>
                <w:rFonts w:hint="eastAsia" w:cs="仿宋_GB2312"/>
                <w:b/>
                <w:bCs/>
                <w:sz w:val="24"/>
                <w:szCs w:val="24"/>
                <w:highlight w:val="none"/>
                <w:lang w:val="en-US" w:eastAsia="zh-CN"/>
              </w:rPr>
              <w:t>89.95</w:t>
            </w:r>
            <w:r>
              <w:rPr>
                <w:rFonts w:hint="eastAsia" w:cs="仿宋_GB2312"/>
                <w:b/>
                <w:bCs/>
                <w:sz w:val="24"/>
                <w:szCs w:val="24"/>
                <w:highlight w:val="none"/>
              </w:rPr>
              <w:t>%</w:t>
            </w:r>
          </w:p>
        </w:tc>
      </w:tr>
    </w:tbl>
    <w:p w14:paraId="513C5B0B">
      <w:pPr>
        <w:ind w:firstLine="562"/>
        <w:rPr>
          <w:rFonts w:hint="eastAsia" w:cs="Times New Roman"/>
          <w:b/>
          <w:bCs/>
          <w:szCs w:val="28"/>
          <w:highlight w:val="none"/>
          <w:lang w:bidi="ar"/>
        </w:rPr>
      </w:pPr>
    </w:p>
    <w:p w14:paraId="4E99E769">
      <w:pPr>
        <w:ind w:firstLine="562"/>
        <w:rPr>
          <w:rFonts w:hint="eastAsia" w:cs="Times New Roman"/>
          <w:b w:val="0"/>
          <w:bCs w:val="0"/>
          <w:szCs w:val="28"/>
          <w:highlight w:val="none"/>
          <w:lang w:bidi="ar"/>
        </w:rPr>
      </w:pPr>
      <w:r>
        <w:rPr>
          <w:rFonts w:hint="eastAsia" w:cs="Times New Roman"/>
          <w:b/>
          <w:bCs/>
          <w:szCs w:val="28"/>
          <w:highlight w:val="none"/>
          <w:lang w:bidi="ar"/>
        </w:rPr>
        <w:t>是否控制在批复概算内：</w:t>
      </w:r>
      <w:r>
        <w:rPr>
          <w:rFonts w:hint="eastAsia" w:cs="Times New Roman"/>
          <w:b w:val="0"/>
          <w:bCs w:val="0"/>
          <w:szCs w:val="28"/>
          <w:highlight w:val="none"/>
          <w:lang w:bidi="ar"/>
        </w:rPr>
        <w:t>该指标用于衡量渭源县检察院在各项业务开展过程中，经费使用是否严格控制在上级批复的概算范围内。年度指标要求为 “是”，即需将经费控制在概算内，实际完成情况也在目标区间（100%-80%）内。分值为6.67，实际得分6分，</w:t>
      </w:r>
      <w:r>
        <w:rPr>
          <w:rFonts w:hint="eastAsia" w:cs="Times New Roman"/>
          <w:b w:val="0"/>
          <w:bCs w:val="0"/>
          <w:szCs w:val="28"/>
          <w:highlight w:val="none"/>
          <w:lang w:eastAsia="zh-CN" w:bidi="ar"/>
        </w:rPr>
        <w:t>得分率</w:t>
      </w:r>
      <w:r>
        <w:rPr>
          <w:rFonts w:hint="eastAsia" w:cs="Times New Roman"/>
          <w:b w:val="0"/>
          <w:bCs w:val="0"/>
          <w:szCs w:val="28"/>
          <w:highlight w:val="none"/>
          <w:lang w:bidi="ar"/>
        </w:rPr>
        <w:t>89.96%。这表明检察院在经费管理上有较好的把控能力，能基本遵循预算安排，但仍存在一些细微的经费使用差异，导致未达到满分，后续可进一步优化经费管理细节。</w:t>
      </w:r>
    </w:p>
    <w:p w14:paraId="43F84BF7">
      <w:pPr>
        <w:ind w:firstLine="562"/>
        <w:rPr>
          <w:rFonts w:hint="eastAsia" w:cs="Times New Roman"/>
          <w:b/>
          <w:bCs/>
          <w:szCs w:val="28"/>
          <w:highlight w:val="none"/>
          <w:lang w:bidi="ar"/>
        </w:rPr>
      </w:pPr>
      <w:r>
        <w:rPr>
          <w:rFonts w:hint="eastAsia" w:cs="Times New Roman"/>
          <w:b/>
          <w:bCs/>
          <w:szCs w:val="28"/>
          <w:highlight w:val="none"/>
          <w:lang w:bidi="ar"/>
        </w:rPr>
        <w:t>本单位相关工作正常开展：</w:t>
      </w:r>
      <w:r>
        <w:rPr>
          <w:rFonts w:hint="eastAsia" w:cs="Times New Roman"/>
          <w:b w:val="0"/>
          <w:bCs w:val="0"/>
          <w:szCs w:val="28"/>
          <w:highlight w:val="none"/>
          <w:lang w:bidi="ar"/>
        </w:rPr>
        <w:t>此指标旨在考核检察院各项工作能否得到有效保障并正常推进。年度指标要求工作 “得到有效保障”，实际完成情况处于目标区间（100%-80%）内。分值6.67，实际得分5.99，</w:t>
      </w:r>
      <w:r>
        <w:rPr>
          <w:rFonts w:hint="eastAsia" w:cs="Times New Roman"/>
          <w:b w:val="0"/>
          <w:bCs w:val="0"/>
          <w:szCs w:val="28"/>
          <w:highlight w:val="none"/>
          <w:lang w:eastAsia="zh-CN" w:bidi="ar"/>
        </w:rPr>
        <w:t>得分率</w:t>
      </w:r>
      <w:r>
        <w:rPr>
          <w:rFonts w:hint="eastAsia" w:cs="Times New Roman"/>
          <w:b w:val="0"/>
          <w:bCs w:val="0"/>
          <w:szCs w:val="28"/>
          <w:highlight w:val="none"/>
          <w:lang w:bidi="ar"/>
        </w:rPr>
        <w:t>89.94% 。说明检察院在工作协调、资源配置等方面能够满足业务开展的基本需求，但在工作保障的全面性或效率上可能存在少许不足，使得得分未达到最优。</w:t>
      </w:r>
    </w:p>
    <w:p w14:paraId="4E90115F">
      <w:pPr>
        <w:ind w:firstLine="562"/>
        <w:rPr>
          <w:rFonts w:hint="eastAsia" w:cs="Times New Roman"/>
          <w:b w:val="0"/>
          <w:bCs w:val="0"/>
          <w:szCs w:val="28"/>
          <w:highlight w:val="none"/>
          <w:lang w:bidi="ar"/>
        </w:rPr>
      </w:pPr>
      <w:r>
        <w:rPr>
          <w:rFonts w:hint="eastAsia" w:cs="Times New Roman"/>
          <w:b/>
          <w:bCs/>
          <w:szCs w:val="28"/>
          <w:highlight w:val="none"/>
          <w:lang w:bidi="ar"/>
        </w:rPr>
        <w:t>节能减排：</w:t>
      </w:r>
      <w:r>
        <w:rPr>
          <w:rFonts w:hint="eastAsia" w:cs="Times New Roman"/>
          <w:b w:val="0"/>
          <w:bCs w:val="0"/>
          <w:szCs w:val="28"/>
          <w:highlight w:val="none"/>
          <w:lang w:bidi="ar"/>
        </w:rPr>
        <w:t>该指标重点关注检察院在日常运营中对节能减排工作的落实情况。年度指标为 “是”，意味着需积极开展节能减排工作，实际完成处于目标区间（100%-80%）内。分值未明确展示全部，实际得分5.99，</w:t>
      </w:r>
      <w:r>
        <w:rPr>
          <w:rFonts w:hint="eastAsia" w:cs="Times New Roman"/>
          <w:b w:val="0"/>
          <w:bCs w:val="0"/>
          <w:szCs w:val="28"/>
          <w:highlight w:val="none"/>
          <w:lang w:eastAsia="zh-CN" w:bidi="ar"/>
        </w:rPr>
        <w:t>得分率</w:t>
      </w:r>
      <w:r>
        <w:rPr>
          <w:rFonts w:hint="eastAsia" w:cs="Times New Roman"/>
          <w:b w:val="0"/>
          <w:bCs w:val="0"/>
          <w:szCs w:val="28"/>
          <w:highlight w:val="none"/>
          <w:lang w:bidi="ar"/>
        </w:rPr>
        <w:t>89.94%。表明检察院在节能减排方面采取了相应措施并取得一定成效，但在节能措施的深度、广度或能源利用效率等方面，可能还有提升的空间，以更好地实现节能减排目标。</w:t>
      </w:r>
    </w:p>
    <w:p w14:paraId="2A1D67F5">
      <w:pPr>
        <w:numPr>
          <w:ilvl w:val="0"/>
          <w:numId w:val="1"/>
        </w:numPr>
        <w:ind w:left="0" w:leftChars="0" w:firstLine="560" w:firstLineChars="200"/>
        <w:rPr>
          <w:rFonts w:cs="Times New Roman"/>
          <w:szCs w:val="28"/>
          <w:highlight w:val="none"/>
          <w:lang w:bidi="ar"/>
        </w:rPr>
      </w:pPr>
      <w:r>
        <w:rPr>
          <w:rFonts w:hint="eastAsia" w:cs="Times New Roman"/>
          <w:szCs w:val="28"/>
          <w:highlight w:val="none"/>
          <w:lang w:bidi="ar"/>
        </w:rPr>
        <w:t>满意度指标</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1410"/>
        <w:gridCol w:w="1365"/>
        <w:gridCol w:w="756"/>
        <w:gridCol w:w="796"/>
        <w:gridCol w:w="1009"/>
      </w:tblGrid>
      <w:tr w14:paraId="3F69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14:paraId="046B291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三级指标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2EDB61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年度指标值</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8C7A2F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实际完成值</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6AA6B9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6DA99D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3E3BB1A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6E76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14:paraId="2E88120C">
            <w:pPr>
              <w:keepNext w:val="0"/>
              <w:keepLines w:val="0"/>
              <w:widowControl/>
              <w:suppressLineNumbers w:val="0"/>
              <w:ind w:left="0" w:leftChars="0" w:firstLine="0" w:firstLineChars="0"/>
              <w:jc w:val="left"/>
              <w:textAlignment w:val="center"/>
              <w:rPr>
                <w:rFonts w:hAnsi="等线" w:cs="Times New Roman"/>
                <w:b/>
                <w:sz w:val="24"/>
                <w:szCs w:val="24"/>
                <w:highlight w:val="none"/>
                <w:lang w:bidi="ar"/>
              </w:rPr>
            </w:pPr>
            <w:r>
              <w:rPr>
                <w:rFonts w:hint="eastAsia" w:ascii="宋体" w:hAnsi="宋体" w:eastAsia="宋体" w:cs="宋体"/>
                <w:i w:val="0"/>
                <w:iCs w:val="0"/>
                <w:color w:val="333333"/>
                <w:kern w:val="0"/>
                <w:sz w:val="20"/>
                <w:szCs w:val="20"/>
                <w:u w:val="none"/>
                <w:lang w:val="en-US" w:eastAsia="zh-CN" w:bidi="ar"/>
              </w:rPr>
              <w:t>服务对象满意度</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974FFA1">
            <w:pPr>
              <w:keepNext w:val="0"/>
              <w:keepLines w:val="0"/>
              <w:widowControl/>
              <w:suppressLineNumbers w:val="0"/>
              <w:ind w:firstLine="400" w:firstLineChars="200"/>
              <w:jc w:val="both"/>
              <w:textAlignment w:val="center"/>
              <w:rPr>
                <w:rFonts w:hAnsi="等线" w:cs="Times New Roman"/>
                <w:b/>
                <w:sz w:val="24"/>
                <w:szCs w:val="24"/>
                <w:highlight w:val="none"/>
                <w:lang w:bidi="ar"/>
              </w:rPr>
            </w:pPr>
            <w:r>
              <w:rPr>
                <w:rFonts w:hint="eastAsia" w:ascii="宋体" w:hAnsi="宋体" w:eastAsia="宋体" w:cs="宋体"/>
                <w:i w:val="0"/>
                <w:iCs w:val="0"/>
                <w:color w:val="333333"/>
                <w:kern w:val="0"/>
                <w:sz w:val="20"/>
                <w:szCs w:val="20"/>
                <w:u w:val="none"/>
                <w:lang w:val="en-US" w:eastAsia="zh-CN" w:bidi="ar"/>
              </w:rPr>
              <w:t>&gt;=95%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296581E">
            <w:pPr>
              <w:keepNext w:val="0"/>
              <w:keepLines w:val="0"/>
              <w:widowControl/>
              <w:suppressLineNumbers w:val="0"/>
              <w:ind w:left="0" w:leftChars="0" w:firstLine="0" w:firstLineChars="0"/>
              <w:jc w:val="center"/>
              <w:textAlignment w:val="center"/>
              <w:rPr>
                <w:rFonts w:hAnsi="等线" w:cs="Times New Roman"/>
                <w:b/>
                <w:sz w:val="24"/>
                <w:szCs w:val="24"/>
                <w:highlight w:val="none"/>
                <w:lang w:bidi="ar"/>
              </w:rPr>
            </w:pPr>
            <w:r>
              <w:rPr>
                <w:rFonts w:hint="eastAsia" w:ascii="宋体" w:hAnsi="宋体" w:eastAsia="宋体" w:cs="宋体"/>
                <w:i w:val="0"/>
                <w:iCs w:val="0"/>
                <w:color w:val="333333"/>
                <w:kern w:val="0"/>
                <w:sz w:val="20"/>
                <w:szCs w:val="20"/>
                <w:u w:val="none"/>
                <w:lang w:val="en-US" w:eastAsia="zh-CN" w:bidi="ar"/>
              </w:rPr>
              <w:t>98%</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A2660C7">
            <w:pPr>
              <w:keepNext w:val="0"/>
              <w:keepLines w:val="0"/>
              <w:widowControl/>
              <w:suppressLineNumbers w:val="0"/>
              <w:ind w:left="0" w:leftChars="0" w:firstLine="0" w:firstLineChars="0"/>
              <w:jc w:val="center"/>
              <w:textAlignment w:val="center"/>
              <w:rPr>
                <w:rFonts w:hint="default" w:hAnsi="等线" w:cs="Times New Roman"/>
                <w:b/>
                <w:sz w:val="24"/>
                <w:szCs w:val="24"/>
                <w:highlight w:val="none"/>
                <w:lang w:val="en-US" w:bidi="ar"/>
              </w:rPr>
            </w:pPr>
            <w:r>
              <w:rPr>
                <w:rFonts w:hint="eastAsia" w:ascii="宋体" w:hAnsi="宋体" w:eastAsia="宋体" w:cs="宋体"/>
                <w:i w:val="0"/>
                <w:iCs w:val="0"/>
                <w:color w:val="333333"/>
                <w:kern w:val="0"/>
                <w:sz w:val="20"/>
                <w:szCs w:val="20"/>
                <w:u w:val="none"/>
                <w:lang w:val="en-US" w:eastAsia="zh-CN" w:bidi="ar"/>
              </w:rPr>
              <w:t>10</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965153D">
            <w:pPr>
              <w:keepNext w:val="0"/>
              <w:keepLines w:val="0"/>
              <w:widowControl/>
              <w:suppressLineNumbers w:val="0"/>
              <w:ind w:left="0" w:leftChars="0" w:firstLine="0" w:firstLineChars="0"/>
              <w:jc w:val="center"/>
              <w:textAlignment w:val="center"/>
              <w:rPr>
                <w:rFonts w:hint="default" w:hAnsi="等线" w:cs="Times New Roman"/>
                <w:b/>
                <w:sz w:val="24"/>
                <w:szCs w:val="24"/>
                <w:highlight w:val="none"/>
                <w:lang w:val="en-US" w:bidi="ar"/>
              </w:rPr>
            </w:pPr>
            <w:r>
              <w:rPr>
                <w:rFonts w:hint="eastAsia" w:ascii="宋体" w:hAnsi="宋体" w:eastAsia="宋体" w:cs="宋体"/>
                <w:i w:val="0"/>
                <w:iCs w:val="0"/>
                <w:color w:val="333333"/>
                <w:kern w:val="0"/>
                <w:sz w:val="20"/>
                <w:szCs w:val="20"/>
                <w:u w:val="none"/>
                <w:lang w:val="en-US" w:eastAsia="zh-CN" w:bidi="ar"/>
              </w:rPr>
              <w:t>10</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EBA9F6C">
            <w:pPr>
              <w:spacing w:line="240" w:lineRule="auto"/>
              <w:ind w:firstLine="0" w:firstLineChars="0"/>
              <w:jc w:val="center"/>
              <w:rPr>
                <w:rFonts w:hAnsi="等线" w:cs="Times New Roman"/>
                <w:b/>
                <w:sz w:val="24"/>
                <w:szCs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100%</w:t>
            </w:r>
          </w:p>
        </w:tc>
      </w:tr>
      <w:tr w14:paraId="0FDD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688D00">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bidi="ar"/>
              </w:rPr>
              <w:t>合计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98FDE2B">
            <w:pPr>
              <w:spacing w:line="240" w:lineRule="auto"/>
              <w:ind w:firstLine="0" w:firstLineChars="0"/>
              <w:jc w:val="center"/>
              <w:rPr>
                <w:rFonts w:cs="仿宋_GB2312"/>
                <w:b/>
                <w:bCs/>
                <w:sz w:val="24"/>
                <w:szCs w:val="24"/>
                <w:highlight w:val="none"/>
              </w:rPr>
            </w:pPr>
            <w:r>
              <w:rPr>
                <w:rFonts w:hint="eastAsia" w:cs="仿宋_GB2312"/>
                <w:b/>
                <w:bCs/>
                <w:sz w:val="24"/>
                <w:szCs w:val="24"/>
                <w:highlight w:val="none"/>
                <w:lang w:val="en-US" w:eastAsia="zh-CN"/>
              </w:rPr>
              <w:t>1</w:t>
            </w:r>
            <w:r>
              <w:rPr>
                <w:rFonts w:hint="eastAsia" w:cs="仿宋_GB2312"/>
                <w:b/>
                <w:bCs/>
                <w:sz w:val="24"/>
                <w:szCs w:val="24"/>
                <w:highlight w:val="none"/>
              </w:rPr>
              <w:t>0</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0A3E237">
            <w:pPr>
              <w:spacing w:line="240" w:lineRule="auto"/>
              <w:ind w:firstLine="0" w:firstLineChars="0"/>
              <w:jc w:val="center"/>
              <w:rPr>
                <w:rFonts w:hint="default" w:eastAsia="仿宋_GB2312" w:cs="仿宋_GB2312"/>
                <w:b/>
                <w:bCs/>
                <w:sz w:val="24"/>
                <w:szCs w:val="24"/>
                <w:highlight w:val="none"/>
                <w:lang w:val="en-US" w:eastAsia="zh-CN"/>
              </w:rPr>
            </w:pPr>
            <w:r>
              <w:rPr>
                <w:rFonts w:hint="eastAsia" w:cs="仿宋_GB2312"/>
                <w:b/>
                <w:bCs/>
                <w:sz w:val="24"/>
                <w:szCs w:val="24"/>
                <w:highlight w:val="none"/>
                <w:lang w:val="en-US" w:eastAsia="zh-CN"/>
              </w:rPr>
              <w:t>10</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C0E4619">
            <w:pPr>
              <w:spacing w:line="240" w:lineRule="auto"/>
              <w:ind w:firstLine="0" w:firstLineChars="0"/>
              <w:jc w:val="center"/>
              <w:rPr>
                <w:rFonts w:hAnsi="等线"/>
                <w:b/>
                <w:bCs/>
                <w:sz w:val="24"/>
                <w:szCs w:val="24"/>
                <w:highlight w:val="none"/>
              </w:rPr>
            </w:pPr>
            <w:r>
              <w:rPr>
                <w:rFonts w:hint="eastAsia" w:hAnsi="等线"/>
                <w:b/>
                <w:bCs/>
                <w:sz w:val="24"/>
                <w:szCs w:val="24"/>
                <w:highlight w:val="none"/>
                <w:lang w:val="en-US" w:eastAsia="zh-CN"/>
              </w:rPr>
              <w:t>100</w:t>
            </w:r>
            <w:r>
              <w:rPr>
                <w:rFonts w:hint="eastAsia" w:hAnsi="等线"/>
                <w:b/>
                <w:bCs/>
                <w:sz w:val="24"/>
                <w:szCs w:val="24"/>
                <w:highlight w:val="none"/>
              </w:rPr>
              <w:t>%</w:t>
            </w:r>
          </w:p>
        </w:tc>
      </w:tr>
    </w:tbl>
    <w:p w14:paraId="430A8D6F">
      <w:pPr>
        <w:ind w:firstLine="560"/>
        <w:rPr>
          <w:rFonts w:hint="eastAsia" w:cs="Times New Roman"/>
          <w:szCs w:val="28"/>
          <w:highlight w:val="none"/>
          <w:lang w:eastAsia="zh-CN" w:bidi="ar"/>
        </w:rPr>
      </w:pPr>
    </w:p>
    <w:p w14:paraId="06124282">
      <w:pPr>
        <w:ind w:firstLine="560"/>
        <w:rPr>
          <w:highlight w:val="none"/>
        </w:rPr>
      </w:pPr>
      <w:r>
        <w:rPr>
          <w:rFonts w:hint="eastAsia" w:cs="Times New Roman"/>
          <w:szCs w:val="28"/>
          <w:highlight w:val="none"/>
          <w:lang w:eastAsia="zh-CN" w:bidi="ar"/>
        </w:rPr>
        <w:t>渭源县检察院着力提升服务水平，收获满满好评，服务对象满意度。窗口服务热情周到，耐心答疑解惑；内部协作积极高效，各部门无缝对接。无论是群众诉求，还是同事协作需求，都全力满足，以实际行动赢得认可，为检察工作高质量开展奠定坚实基础</w:t>
      </w:r>
      <w:r>
        <w:rPr>
          <w:rFonts w:hint="eastAsia"/>
          <w:szCs w:val="32"/>
          <w:highlight w:val="none"/>
        </w:rPr>
        <w:t>。指标分值合计10分，得分10分，得分率100%。</w:t>
      </w:r>
    </w:p>
    <w:p w14:paraId="7D7F9AF5">
      <w:pPr>
        <w:pStyle w:val="6"/>
        <w:widowControl/>
        <w:numPr>
          <w:ilvl w:val="0"/>
          <w:numId w:val="0"/>
        </w:numPr>
        <w:ind w:left="562" w:leftChars="0"/>
        <w:rPr>
          <w:szCs w:val="28"/>
          <w:highlight w:val="none"/>
        </w:rPr>
      </w:pPr>
      <w:r>
        <w:rPr>
          <w:rFonts w:hint="eastAsia"/>
          <w:szCs w:val="28"/>
          <w:highlight w:val="none"/>
          <w:lang w:val="en-US" w:eastAsia="zh-CN"/>
        </w:rPr>
        <w:t>4.</w:t>
      </w:r>
      <w:r>
        <w:rPr>
          <w:szCs w:val="28"/>
          <w:highlight w:val="none"/>
        </w:rPr>
        <w:t>偏离绩效目标的原因及下一步改进措施</w:t>
      </w:r>
    </w:p>
    <w:p w14:paraId="24AB0A34">
      <w:pPr>
        <w:numPr>
          <w:ilvl w:val="0"/>
          <w:numId w:val="0"/>
        </w:numPr>
        <w:rPr>
          <w:rFonts w:hint="default" w:eastAsia="仿宋_GB2312"/>
          <w:highlight w:val="none"/>
          <w:lang w:val="en-US" w:eastAsia="zh-CN"/>
        </w:rPr>
      </w:pPr>
      <w:r>
        <w:rPr>
          <w:rFonts w:hint="eastAsia"/>
          <w:highlight w:val="none"/>
          <w:lang w:val="en-US" w:eastAsia="zh-CN"/>
        </w:rPr>
        <w:t xml:space="preserve">    无</w:t>
      </w:r>
    </w:p>
    <w:bookmarkEnd w:id="29"/>
    <w:p w14:paraId="192C7817">
      <w:pPr>
        <w:pStyle w:val="5"/>
        <w:ind w:firstLine="643"/>
      </w:pPr>
      <w:bookmarkStart w:id="30" w:name="_Toc24668"/>
      <w:bookmarkStart w:id="31" w:name="_Toc692"/>
      <w:bookmarkStart w:id="32" w:name="_Toc17640"/>
      <w:bookmarkStart w:id="33" w:name="_Toc28144"/>
      <w:bookmarkStart w:id="34" w:name="_Toc7144"/>
      <w:r>
        <w:rPr>
          <w:rFonts w:hint="eastAsia"/>
        </w:rPr>
        <w:t>（</w:t>
      </w:r>
      <w:r>
        <w:rPr>
          <w:rFonts w:hint="eastAsia"/>
          <w:lang w:val="en-US" w:eastAsia="zh-CN"/>
        </w:rPr>
        <w:t>二</w:t>
      </w:r>
      <w:r>
        <w:rPr>
          <w:rFonts w:hint="eastAsia"/>
        </w:rPr>
        <w:t>）</w:t>
      </w:r>
      <w:r>
        <w:t>项目</w:t>
      </w:r>
      <w:r>
        <w:rPr>
          <w:rFonts w:hint="eastAsia"/>
          <w:lang w:val="en-US" w:eastAsia="zh-CN"/>
        </w:rPr>
        <w:t>2</w:t>
      </w:r>
      <w:r>
        <w:t>-</w:t>
      </w:r>
      <w:r>
        <w:rPr>
          <w:rFonts w:hint="eastAsia"/>
        </w:rPr>
        <w:t>中</w:t>
      </w:r>
      <w:r>
        <w:rPr>
          <w:rFonts w:hint="eastAsia" w:hAnsi="宋体"/>
          <w:szCs w:val="28"/>
        </w:rPr>
        <w:t>央政法转移支付资金</w:t>
      </w:r>
      <w:bookmarkEnd w:id="30"/>
      <w:bookmarkEnd w:id="31"/>
      <w:bookmarkEnd w:id="32"/>
    </w:p>
    <w:p w14:paraId="2D64B9E1">
      <w:pPr>
        <w:pStyle w:val="6"/>
        <w:ind w:firstLine="562"/>
        <w:rPr>
          <w:szCs w:val="28"/>
        </w:rPr>
      </w:pPr>
      <w:r>
        <w:rPr>
          <w:rFonts w:hint="eastAsia"/>
          <w:szCs w:val="28"/>
        </w:rPr>
        <w:t>1</w:t>
      </w:r>
      <w:r>
        <w:rPr>
          <w:rFonts w:hAnsi="宋体"/>
          <w:szCs w:val="28"/>
        </w:rPr>
        <w:t>.</w:t>
      </w:r>
      <w:r>
        <w:rPr>
          <w:rFonts w:hint="eastAsia"/>
          <w:szCs w:val="28"/>
        </w:rPr>
        <w:t>项目支出预算执行情况</w:t>
      </w:r>
    </w:p>
    <w:p w14:paraId="7729B4B8">
      <w:pPr>
        <w:ind w:firstLine="560"/>
        <w:rPr>
          <w:szCs w:val="28"/>
        </w:rPr>
      </w:pPr>
      <w:r>
        <w:rPr>
          <w:rFonts w:hint="eastAsia" w:hAnsi="宋体"/>
          <w:szCs w:val="28"/>
        </w:rPr>
        <w:t>中央政法转移支付资金项目年初预算数</w:t>
      </w:r>
      <w:r>
        <w:rPr>
          <w:rFonts w:hint="eastAsia" w:hAnsi="宋体"/>
          <w:szCs w:val="28"/>
          <w:lang w:val="en-US" w:eastAsia="zh-CN"/>
        </w:rPr>
        <w:t>180</w:t>
      </w:r>
      <w:r>
        <w:rPr>
          <w:rFonts w:hint="eastAsia" w:hAnsi="宋体"/>
          <w:szCs w:val="28"/>
        </w:rPr>
        <w:t>万元，全年预算数</w:t>
      </w:r>
      <w:r>
        <w:rPr>
          <w:rFonts w:hint="eastAsia" w:hAnsi="宋体"/>
          <w:szCs w:val="28"/>
          <w:lang w:val="en-US" w:eastAsia="zh-CN"/>
        </w:rPr>
        <w:t>215</w:t>
      </w:r>
      <w:r>
        <w:rPr>
          <w:rFonts w:hint="eastAsia" w:hAnsi="宋体"/>
          <w:szCs w:val="28"/>
        </w:rPr>
        <w:t>万元，全年支出</w:t>
      </w:r>
      <w:r>
        <w:rPr>
          <w:rFonts w:hint="eastAsia" w:hAnsi="宋体"/>
          <w:szCs w:val="28"/>
          <w:lang w:val="en-US" w:eastAsia="zh-CN"/>
        </w:rPr>
        <w:t>215</w:t>
      </w:r>
      <w:r>
        <w:rPr>
          <w:rFonts w:hint="eastAsia" w:hAnsi="宋体"/>
          <w:szCs w:val="28"/>
        </w:rPr>
        <w:t>万元，执行率</w:t>
      </w:r>
      <w:r>
        <w:rPr>
          <w:rFonts w:hint="eastAsia" w:hAnsi="宋体"/>
          <w:szCs w:val="28"/>
          <w:lang w:val="en-US" w:eastAsia="zh-CN"/>
        </w:rPr>
        <w:t>100</w:t>
      </w:r>
      <w:r>
        <w:rPr>
          <w:rFonts w:hint="eastAsia" w:hAnsi="宋体"/>
          <w:szCs w:val="28"/>
        </w:rPr>
        <w:t>%。指标分值10分，自评得分</w:t>
      </w:r>
      <w:r>
        <w:rPr>
          <w:rFonts w:hint="eastAsia" w:hAnsi="宋体"/>
          <w:szCs w:val="28"/>
          <w:lang w:val="en-US" w:eastAsia="zh-CN"/>
        </w:rPr>
        <w:t>10</w:t>
      </w:r>
      <w:r>
        <w:rPr>
          <w:rFonts w:hint="eastAsia" w:hAnsi="宋体"/>
          <w:szCs w:val="28"/>
        </w:rPr>
        <w:t>分，得分率</w:t>
      </w:r>
      <w:r>
        <w:rPr>
          <w:rFonts w:hint="eastAsia" w:hAnsi="宋体"/>
          <w:szCs w:val="28"/>
          <w:lang w:val="en-US" w:eastAsia="zh-CN"/>
        </w:rPr>
        <w:t>100</w:t>
      </w:r>
      <w:r>
        <w:rPr>
          <w:rFonts w:hint="eastAsia" w:hAnsi="宋体"/>
          <w:szCs w:val="28"/>
        </w:rPr>
        <w:t>%。</w:t>
      </w:r>
    </w:p>
    <w:p w14:paraId="7B26F251">
      <w:pPr>
        <w:pStyle w:val="6"/>
        <w:keepNext/>
        <w:keepLines w:val="0"/>
        <w:pageBreakBefore w:val="0"/>
        <w:widowControl w:val="0"/>
        <w:kinsoku/>
        <w:wordWrap/>
        <w:overflowPunct/>
        <w:topLinePunct w:val="0"/>
        <w:autoSpaceDE/>
        <w:autoSpaceDN/>
        <w:bidi w:val="0"/>
        <w:adjustRightInd/>
        <w:snapToGrid/>
        <w:ind w:firstLine="562"/>
        <w:textAlignment w:val="auto"/>
        <w:rPr>
          <w:rFonts w:hint="eastAsia"/>
          <w:szCs w:val="28"/>
        </w:rPr>
      </w:pPr>
      <w:r>
        <w:rPr>
          <w:rFonts w:hint="eastAsia"/>
          <w:szCs w:val="28"/>
        </w:rPr>
        <w:t>2</w:t>
      </w:r>
      <w:r>
        <w:rPr>
          <w:rFonts w:hAnsi="宋体"/>
          <w:szCs w:val="28"/>
        </w:rPr>
        <w:t>.</w:t>
      </w:r>
      <w:r>
        <w:rPr>
          <w:rFonts w:hint="eastAsia"/>
          <w:szCs w:val="28"/>
        </w:rPr>
        <w:t>总体绩效目标完成情况分析</w:t>
      </w:r>
    </w:p>
    <w:p w14:paraId="3E773771">
      <w:pPr>
        <w:rPr>
          <w:rFonts w:hint="eastAsia"/>
        </w:rPr>
      </w:pPr>
      <w:r>
        <w:rPr>
          <w:rFonts w:hint="eastAsia"/>
          <w:highlight w:val="none"/>
        </w:rPr>
        <w:t>中央政法转移支付资金共设</w:t>
      </w:r>
      <w:r>
        <w:rPr>
          <w:rFonts w:hint="eastAsia"/>
          <w:highlight w:val="none"/>
          <w:lang w:val="en-US" w:eastAsia="zh-CN"/>
        </w:rPr>
        <w:t>成本、</w:t>
      </w:r>
      <w:r>
        <w:rPr>
          <w:rFonts w:hint="eastAsia"/>
          <w:highlight w:val="none"/>
        </w:rPr>
        <w:t>产出、效益、满意度</w:t>
      </w:r>
      <w:r>
        <w:rPr>
          <w:rFonts w:hint="eastAsia"/>
          <w:highlight w:val="none"/>
          <w:lang w:val="en-US" w:eastAsia="zh-CN"/>
        </w:rPr>
        <w:t>4</w:t>
      </w:r>
      <w:r>
        <w:rPr>
          <w:rFonts w:hint="eastAsia"/>
          <w:highlight w:val="none"/>
        </w:rPr>
        <w:t>个一级指标，该项目</w:t>
      </w:r>
      <w:r>
        <w:rPr>
          <w:rFonts w:hint="eastAsia"/>
          <w:highlight w:val="none"/>
          <w:lang w:eastAsia="zh-CN"/>
        </w:rPr>
        <w:t>指标总分合计</w:t>
      </w:r>
      <w:r>
        <w:rPr>
          <w:rFonts w:hint="eastAsia"/>
          <w:highlight w:val="none"/>
          <w:lang w:val="en-US" w:eastAsia="zh-CN"/>
        </w:rPr>
        <w:t>100分，</w:t>
      </w:r>
      <w:r>
        <w:rPr>
          <w:rFonts w:hint="eastAsia"/>
          <w:highlight w:val="none"/>
        </w:rPr>
        <w:t>自评得分</w:t>
      </w:r>
      <w:r>
        <w:rPr>
          <w:rFonts w:hint="eastAsia"/>
          <w:highlight w:val="none"/>
          <w:lang w:val="en-US" w:eastAsia="zh-CN"/>
        </w:rPr>
        <w:t>94.77</w:t>
      </w:r>
      <w:r>
        <w:rPr>
          <w:rFonts w:hint="eastAsia"/>
          <w:highlight w:val="none"/>
        </w:rPr>
        <w:t>分，自评结果为“</w:t>
      </w:r>
      <w:r>
        <w:rPr>
          <w:rFonts w:hint="eastAsia"/>
          <w:highlight w:val="none"/>
          <w:lang w:val="en-US" w:eastAsia="zh-CN"/>
        </w:rPr>
        <w:t>优</w:t>
      </w:r>
      <w:r>
        <w:rPr>
          <w:rFonts w:hint="eastAsia"/>
          <w:highlight w:val="none"/>
          <w:lang w:eastAsia="zh-CN"/>
        </w:rPr>
        <w:t>”。</w:t>
      </w:r>
    </w:p>
    <w:p w14:paraId="1B823338">
      <w:pPr>
        <w:rPr>
          <w:rFonts w:hint="eastAsia"/>
          <w:lang w:val="en-US" w:eastAsia="zh-CN"/>
        </w:rPr>
      </w:pPr>
      <w:r>
        <w:rPr>
          <w:rFonts w:hint="eastAsia"/>
          <w:b/>
          <w:bCs/>
          <w:lang w:val="en-US" w:eastAsia="zh-CN"/>
        </w:rPr>
        <w:t>预期目标</w:t>
      </w:r>
      <w:r>
        <w:rPr>
          <w:rFonts w:hint="eastAsia"/>
          <w:lang w:val="en-US" w:eastAsia="zh-CN"/>
        </w:rPr>
        <w:t>：完成2024年总体绩效目标，通过绩效自评全面分析中央政法转移支付办案费及装备费资金分配使用及管理等情况，单位进一步完善项目申报、实施等程序，规范资金分配、使用及管理，切实提高财政资金使用效益。</w:t>
      </w:r>
    </w:p>
    <w:p w14:paraId="667D24ED">
      <w:pPr>
        <w:rPr>
          <w:rFonts w:hint="eastAsia"/>
          <w:lang w:val="en-US" w:eastAsia="zh-CN"/>
        </w:rPr>
      </w:pPr>
      <w:r>
        <w:rPr>
          <w:rFonts w:hint="eastAsia"/>
          <w:b/>
          <w:bCs/>
          <w:lang w:val="en-US" w:eastAsia="zh-CN"/>
        </w:rPr>
        <w:t>实际完成情况</w:t>
      </w:r>
      <w:r>
        <w:rPr>
          <w:rFonts w:hint="eastAsia"/>
          <w:lang w:val="en-US" w:eastAsia="zh-CN"/>
        </w:rPr>
        <w:t>：2024年我院预期目标均完成。</w:t>
      </w:r>
    </w:p>
    <w:p w14:paraId="40B302AE">
      <w:pPr>
        <w:pStyle w:val="6"/>
        <w:ind w:firstLine="562"/>
        <w:rPr>
          <w:szCs w:val="28"/>
        </w:rPr>
      </w:pPr>
      <w:r>
        <w:rPr>
          <w:rFonts w:hint="eastAsia"/>
          <w:szCs w:val="28"/>
        </w:rPr>
        <w:t>3</w:t>
      </w:r>
      <w:r>
        <w:rPr>
          <w:rFonts w:hAnsi="宋体"/>
          <w:szCs w:val="28"/>
        </w:rPr>
        <w:t>.</w:t>
      </w:r>
      <w:r>
        <w:rPr>
          <w:rFonts w:hint="eastAsia"/>
          <w:szCs w:val="28"/>
        </w:rPr>
        <w:t>各项指标完成情况分析</w:t>
      </w:r>
    </w:p>
    <w:p w14:paraId="5BE280A5">
      <w:pPr>
        <w:adjustRightInd w:val="0"/>
        <w:spacing w:line="520" w:lineRule="exact"/>
        <w:ind w:firstLine="560" w:firstLineChars="200"/>
        <w:jc w:val="left"/>
        <w:rPr>
          <w:rFonts w:hint="eastAsia"/>
          <w:highlight w:val="none"/>
          <w:lang w:val="en-US" w:eastAsia="zh-CN"/>
        </w:rPr>
      </w:pPr>
      <w:r>
        <w:rPr>
          <w:rFonts w:hint="eastAsia"/>
          <w:szCs w:val="28"/>
        </w:rPr>
        <w:t>根据《甘肃省财政厅关于开展</w:t>
      </w:r>
      <w:r>
        <w:rPr>
          <w:rFonts w:hint="eastAsia"/>
          <w:szCs w:val="28"/>
          <w:lang w:eastAsia="zh-CN"/>
        </w:rPr>
        <w:t>2024年度</w:t>
      </w:r>
      <w:r>
        <w:rPr>
          <w:rFonts w:hint="eastAsia"/>
          <w:szCs w:val="28"/>
        </w:rPr>
        <w:t>省级预算执行情况绩效自评工作的通知》（甘财绩〔</w:t>
      </w:r>
      <w:r>
        <w:rPr>
          <w:rFonts w:hint="eastAsia"/>
          <w:szCs w:val="28"/>
          <w:lang w:eastAsia="zh-CN"/>
        </w:rPr>
        <w:t>202</w:t>
      </w:r>
      <w:r>
        <w:rPr>
          <w:rFonts w:hint="eastAsia"/>
          <w:szCs w:val="28"/>
          <w:lang w:val="en-US" w:eastAsia="zh-CN"/>
        </w:rPr>
        <w:t>0</w:t>
      </w:r>
      <w:r>
        <w:rPr>
          <w:rFonts w:hint="eastAsia"/>
          <w:szCs w:val="28"/>
        </w:rPr>
        <w:t>〕</w:t>
      </w:r>
      <w:r>
        <w:rPr>
          <w:rFonts w:hint="eastAsia"/>
          <w:szCs w:val="28"/>
          <w:lang w:val="en-US" w:eastAsia="zh-CN"/>
        </w:rPr>
        <w:t>5</w:t>
      </w:r>
      <w:r>
        <w:rPr>
          <w:rFonts w:hint="eastAsia"/>
          <w:szCs w:val="28"/>
        </w:rPr>
        <w:t>号）的要求，</w:t>
      </w:r>
      <w:r>
        <w:rPr>
          <w:rFonts w:hint="eastAsia"/>
          <w:highlight w:val="none"/>
          <w:lang w:val="en-US" w:eastAsia="zh-CN"/>
        </w:rPr>
        <w:t>项目支出指标设置成本指标20%，产出指标为40%，效益指标20%，满意度指标10%。</w:t>
      </w:r>
    </w:p>
    <w:p w14:paraId="2C6603E1">
      <w:pPr>
        <w:numPr>
          <w:ilvl w:val="0"/>
          <w:numId w:val="2"/>
        </w:numPr>
        <w:adjustRightInd w:val="0"/>
        <w:spacing w:line="520" w:lineRule="exact"/>
        <w:ind w:firstLine="560" w:firstLineChars="200"/>
        <w:jc w:val="left"/>
        <w:rPr>
          <w:rFonts w:hint="eastAsia"/>
          <w:highlight w:val="none"/>
          <w:lang w:val="en-US" w:eastAsia="zh-CN"/>
        </w:rPr>
      </w:pPr>
      <w:r>
        <w:rPr>
          <w:rFonts w:hint="eastAsia"/>
          <w:highlight w:val="none"/>
          <w:lang w:val="en-US" w:eastAsia="zh-CN"/>
        </w:rPr>
        <w:t>成本指标</w:t>
      </w:r>
    </w:p>
    <w:p w14:paraId="17C877AB">
      <w:pPr>
        <w:numPr>
          <w:ilvl w:val="0"/>
          <w:numId w:val="0"/>
        </w:numPr>
        <w:adjustRightInd w:val="0"/>
        <w:spacing w:line="520" w:lineRule="exact"/>
        <w:ind w:firstLine="560" w:firstLineChars="200"/>
        <w:jc w:val="left"/>
        <w:rPr>
          <w:rFonts w:hint="eastAsia"/>
          <w:highlight w:val="none"/>
          <w:lang w:eastAsia="zh-CN"/>
        </w:rPr>
      </w:pPr>
      <w:r>
        <w:rPr>
          <w:rFonts w:hint="eastAsia"/>
          <w:highlight w:val="none"/>
          <w:lang w:val="en-US" w:eastAsia="zh-CN"/>
        </w:rPr>
        <w:t>成本指标包括经济成本指标1个二级指标，</w:t>
      </w:r>
      <w:r>
        <w:rPr>
          <w:rFonts w:hint="eastAsia"/>
          <w:highlight w:val="none"/>
          <w:lang w:eastAsia="zh-CN"/>
        </w:rPr>
        <w:t>指标总分值</w:t>
      </w:r>
      <w:r>
        <w:rPr>
          <w:rFonts w:hint="eastAsia"/>
          <w:highlight w:val="none"/>
          <w:lang w:val="en-US" w:eastAsia="zh-CN"/>
        </w:rPr>
        <w:t>2</w:t>
      </w:r>
      <w:r>
        <w:rPr>
          <w:rFonts w:hint="eastAsia"/>
          <w:highlight w:val="none"/>
          <w:lang w:eastAsia="zh-CN"/>
        </w:rPr>
        <w:t>0分，自评得分</w:t>
      </w:r>
      <w:r>
        <w:rPr>
          <w:rFonts w:hint="eastAsia"/>
          <w:highlight w:val="none"/>
          <w:lang w:val="en-US" w:eastAsia="zh-CN"/>
        </w:rPr>
        <w:t>20</w:t>
      </w:r>
      <w:r>
        <w:rPr>
          <w:rFonts w:hint="eastAsia"/>
          <w:highlight w:val="none"/>
          <w:lang w:eastAsia="zh-CN"/>
        </w:rPr>
        <w:t>分，得分率</w:t>
      </w:r>
      <w:r>
        <w:rPr>
          <w:rFonts w:hint="eastAsia"/>
          <w:highlight w:val="none"/>
          <w:lang w:val="en-US" w:eastAsia="zh-CN"/>
        </w:rPr>
        <w:t>100</w:t>
      </w:r>
      <w:r>
        <w:rPr>
          <w:rFonts w:hint="eastAsia"/>
          <w:highlight w:val="none"/>
          <w:lang w:eastAsia="zh-CN"/>
        </w:rPr>
        <w:t>%。指标分析如下: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545"/>
        <w:gridCol w:w="1530"/>
        <w:gridCol w:w="705"/>
        <w:gridCol w:w="895"/>
        <w:gridCol w:w="1476"/>
      </w:tblGrid>
      <w:tr w14:paraId="4D18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14:paraId="46ED84F9">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三级指标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BEF4E9C">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年度指标值</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6358400E">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实际完成值</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1EF0F8A">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分值</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7D8BCEFB">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19BEB7B3">
            <w:pPr>
              <w:spacing w:line="240" w:lineRule="auto"/>
              <w:ind w:firstLine="0" w:firstLineChars="0"/>
              <w:jc w:val="center"/>
              <w:rPr>
                <w:rFonts w:hAnsi="等线"/>
                <w:b/>
                <w:sz w:val="24"/>
                <w:szCs w:val="24"/>
                <w:highlight w:val="none"/>
              </w:rPr>
            </w:pPr>
            <w:r>
              <w:rPr>
                <w:rFonts w:hAnsi="等线" w:cs="Times New Roman"/>
                <w:b/>
                <w:sz w:val="24"/>
                <w:szCs w:val="24"/>
                <w:highlight w:val="none"/>
                <w:lang w:bidi="ar"/>
              </w:rPr>
              <w:t>得分率</w:t>
            </w:r>
          </w:p>
        </w:tc>
      </w:tr>
      <w:tr w14:paraId="7863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14:paraId="58E287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现有设备设施利用率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0609D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556C42F">
            <w:pPr>
              <w:keepNext w:val="0"/>
              <w:keepLines w:val="0"/>
              <w:widowControl/>
              <w:suppressLineNumbers w:val="0"/>
              <w:ind w:left="0" w:leftChars="0" w:firstLine="0" w:firstLineChars="0"/>
              <w:jc w:val="center"/>
              <w:textAlignment w:val="center"/>
              <w:rPr>
                <w:rFonts w:hint="default" w:cs="仿宋_GB2312"/>
                <w:color w:val="333333"/>
                <w:sz w:val="24"/>
                <w:szCs w:val="24"/>
                <w:highlight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CF23062">
            <w:pPr>
              <w:keepNext w:val="0"/>
              <w:keepLines w:val="0"/>
              <w:widowControl/>
              <w:suppressLineNumbers w:val="0"/>
              <w:ind w:left="0" w:leftChars="0" w:firstLine="0" w:firstLineChars="0"/>
              <w:jc w:val="both"/>
              <w:textAlignment w:val="center"/>
              <w:rPr>
                <w:rFonts w:hint="default" w:eastAsia="仿宋_GB2312" w:cs="仿宋_GB2312"/>
                <w:color w:val="000000"/>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2409CE2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000000"/>
                <w:kern w:val="2"/>
                <w:sz w:val="24"/>
                <w:szCs w:val="24"/>
                <w:highlight w:val="none"/>
                <w:lang w:val="en-US" w:eastAsia="zh-CN" w:bidi="ar-SA"/>
              </w:rPr>
            </w:pPr>
            <w:r>
              <w:rPr>
                <w:rFonts w:hint="eastAsia" w:ascii="宋体" w:hAnsi="宋体" w:eastAsia="宋体" w:cs="宋体"/>
                <w:i w:val="0"/>
                <w:iCs w:val="0"/>
                <w:color w:val="333333"/>
                <w:kern w:val="0"/>
                <w:sz w:val="20"/>
                <w:szCs w:val="20"/>
                <w:u w:val="none"/>
                <w:lang w:val="en-US" w:eastAsia="zh-CN" w:bidi="ar"/>
              </w:rPr>
              <w:t>20</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3EC1D520">
            <w:pPr>
              <w:keepNext w:val="0"/>
              <w:keepLines w:val="0"/>
              <w:widowControl/>
              <w:suppressLineNumbers w:val="0"/>
              <w:ind w:firstLine="400" w:firstLineChars="20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r>
      <w:tr w14:paraId="2CC6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9D9082">
            <w:pPr>
              <w:keepNext w:val="0"/>
              <w:keepLines w:val="0"/>
              <w:widowControl/>
              <w:suppressLineNumbers w:val="0"/>
              <w:ind w:firstLine="482" w:firstLineChars="20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Ansi="等线" w:cs="Times New Roman"/>
                <w:b/>
                <w:bCs/>
                <w:sz w:val="24"/>
                <w:szCs w:val="24"/>
                <w:highlight w:val="none"/>
                <w:lang w:bidi="ar"/>
              </w:rPr>
              <w:t>合计</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44D364A">
            <w:pPr>
              <w:keepNext w:val="0"/>
              <w:keepLines w:val="0"/>
              <w:widowControl/>
              <w:suppressLineNumbers w:val="0"/>
              <w:ind w:left="0" w:leftChars="0" w:firstLine="0" w:firstLineChars="0"/>
              <w:jc w:val="left"/>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20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7A9D3692">
            <w:pPr>
              <w:spacing w:line="240" w:lineRule="auto"/>
              <w:ind w:firstLine="0" w:firstLineChars="0"/>
              <w:jc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20</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2A343125">
            <w:pPr>
              <w:keepNext w:val="0"/>
              <w:keepLines w:val="0"/>
              <w:widowControl/>
              <w:suppressLineNumbers w:val="0"/>
              <w:ind w:firstLine="402" w:firstLineChars="200"/>
              <w:jc w:val="left"/>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100%</w:t>
            </w:r>
          </w:p>
        </w:tc>
      </w:tr>
    </w:tbl>
    <w:p w14:paraId="21FDC1AF">
      <w:pPr>
        <w:pStyle w:val="12"/>
        <w:rPr>
          <w:rFonts w:hint="default" w:ascii="仿宋_GB2312" w:hAnsi="仿宋_GB2312" w:eastAsia="仿宋_GB2312" w:cs="仿宋_GB2312"/>
          <w:b/>
          <w:bCs/>
          <w:kern w:val="2"/>
          <w:sz w:val="28"/>
          <w:szCs w:val="28"/>
          <w:lang w:val="en-US" w:eastAsia="zh-CN" w:bidi="ar-SA"/>
        </w:rPr>
      </w:pPr>
    </w:p>
    <w:p w14:paraId="79C056D4">
      <w:pPr>
        <w:pStyle w:val="12"/>
        <w:rPr>
          <w:rFonts w:hint="eastAsia" w:hAnsi="宋体"/>
          <w:szCs w:val="28"/>
          <w:highlight w:val="none"/>
        </w:rPr>
      </w:pPr>
      <w:r>
        <w:rPr>
          <w:rFonts w:hint="default" w:ascii="仿宋_GB2312" w:hAnsi="仿宋_GB2312" w:eastAsia="仿宋_GB2312" w:cs="仿宋_GB2312"/>
          <w:b/>
          <w:bCs/>
          <w:kern w:val="2"/>
          <w:sz w:val="28"/>
          <w:szCs w:val="28"/>
          <w:lang w:val="en-US" w:eastAsia="zh-CN" w:bidi="ar-SA"/>
        </w:rPr>
        <w:t>现有设备设施利用率</w:t>
      </w:r>
      <w:r>
        <w:rPr>
          <w:rFonts w:hint="eastAsia" w:cs="仿宋_GB2312"/>
          <w:b/>
          <w:bCs/>
          <w:kern w:val="2"/>
          <w:sz w:val="28"/>
          <w:szCs w:val="28"/>
          <w:lang w:val="en-US" w:eastAsia="zh-CN" w:bidi="ar-SA"/>
        </w:rPr>
        <w:t>：</w:t>
      </w:r>
      <w:r>
        <w:rPr>
          <w:rFonts w:hint="eastAsia"/>
          <w:szCs w:val="28"/>
          <w:lang w:eastAsia="zh-CN"/>
        </w:rPr>
        <w:t>该指标衡量检察院现有设备设施的使用效率，年度指标要求大于95%。实际完成值为100%，获得满分20分，得分率100%。说明检察院对设备设施的管理和使用较为充分，能有效发挥设备设施的功能，保障工作开展。</w:t>
      </w:r>
    </w:p>
    <w:p w14:paraId="21D53A34">
      <w:pPr>
        <w:ind w:firstLine="560"/>
        <w:rPr>
          <w:szCs w:val="28"/>
        </w:rPr>
      </w:pPr>
      <w:r>
        <w:rPr>
          <w:rFonts w:hint="eastAsia" w:cs="Times New Roman"/>
          <w:szCs w:val="28"/>
          <w:lang w:eastAsia="zh-CN" w:bidi="ar"/>
        </w:rPr>
        <w:t>（</w:t>
      </w:r>
      <w:r>
        <w:rPr>
          <w:rFonts w:hint="eastAsia" w:cs="Times New Roman"/>
          <w:szCs w:val="28"/>
          <w:lang w:val="en-US" w:eastAsia="zh-CN" w:bidi="ar"/>
        </w:rPr>
        <w:t>2</w:t>
      </w:r>
      <w:r>
        <w:rPr>
          <w:rFonts w:hint="eastAsia" w:cs="Times New Roman"/>
          <w:szCs w:val="28"/>
          <w:lang w:eastAsia="zh-CN" w:bidi="ar"/>
        </w:rPr>
        <w:t>）</w:t>
      </w:r>
      <w:r>
        <w:rPr>
          <w:rFonts w:hint="eastAsia"/>
          <w:szCs w:val="28"/>
        </w:rPr>
        <w:t>产出指标</w:t>
      </w:r>
    </w:p>
    <w:p w14:paraId="11AA090F">
      <w:pPr>
        <w:ind w:firstLine="560"/>
        <w:rPr>
          <w:rFonts w:hint="default"/>
          <w:lang w:val="en-US"/>
        </w:rPr>
      </w:pPr>
      <w:r>
        <w:rPr>
          <w:rFonts w:hint="eastAsia"/>
          <w:szCs w:val="28"/>
        </w:rPr>
        <w:t>产出指标包括产出</w:t>
      </w:r>
      <w:r>
        <w:rPr>
          <w:rFonts w:hint="eastAsia"/>
          <w:szCs w:val="28"/>
          <w:lang w:eastAsia="zh-CN"/>
        </w:rPr>
        <w:t>数量、产出</w:t>
      </w:r>
      <w:r>
        <w:rPr>
          <w:rFonts w:hint="eastAsia"/>
          <w:szCs w:val="28"/>
        </w:rPr>
        <w:t>质量、</w:t>
      </w:r>
      <w:r>
        <w:rPr>
          <w:rFonts w:hint="eastAsia"/>
          <w:szCs w:val="28"/>
          <w:lang w:eastAsia="zh-CN"/>
        </w:rPr>
        <w:t>产出时效</w:t>
      </w:r>
      <w:r>
        <w:rPr>
          <w:rFonts w:hint="eastAsia"/>
          <w:szCs w:val="28"/>
          <w:lang w:val="en-US" w:eastAsia="zh-CN"/>
        </w:rPr>
        <w:t>3</w:t>
      </w:r>
      <w:r>
        <w:rPr>
          <w:rFonts w:hint="eastAsia"/>
          <w:szCs w:val="28"/>
        </w:rPr>
        <w:t>个二级指标</w:t>
      </w:r>
      <w:r>
        <w:rPr>
          <w:rFonts w:hint="eastAsia"/>
          <w:szCs w:val="28"/>
          <w:highlight w:val="none"/>
        </w:rPr>
        <w:t>。总分值</w:t>
      </w:r>
      <w:r>
        <w:rPr>
          <w:rFonts w:hint="eastAsia"/>
          <w:szCs w:val="28"/>
          <w:highlight w:val="none"/>
          <w:lang w:val="en-US" w:eastAsia="zh-CN"/>
        </w:rPr>
        <w:t>40</w:t>
      </w:r>
      <w:r>
        <w:rPr>
          <w:rFonts w:hint="eastAsia"/>
          <w:szCs w:val="28"/>
          <w:highlight w:val="none"/>
        </w:rPr>
        <w:t>分，得分</w:t>
      </w:r>
      <w:r>
        <w:rPr>
          <w:rFonts w:hint="eastAsia"/>
          <w:szCs w:val="28"/>
          <w:highlight w:val="none"/>
          <w:lang w:val="en-US" w:eastAsia="zh-CN"/>
        </w:rPr>
        <w:t>36.27</w:t>
      </w:r>
      <w:r>
        <w:rPr>
          <w:rFonts w:hint="eastAsia"/>
          <w:szCs w:val="28"/>
          <w:highlight w:val="none"/>
        </w:rPr>
        <w:t>分，得分率</w:t>
      </w:r>
      <w:r>
        <w:rPr>
          <w:rFonts w:hint="eastAsia"/>
          <w:szCs w:val="28"/>
          <w:highlight w:val="none"/>
          <w:lang w:val="en-US" w:eastAsia="zh-CN"/>
        </w:rPr>
        <w:t>90.67%</w:t>
      </w:r>
      <w:r>
        <w:rPr>
          <w:rFonts w:hint="eastAsia"/>
          <w:szCs w:val="28"/>
          <w:lang w:eastAsia="zh-CN"/>
        </w:rPr>
        <w:t>。</w:t>
      </w:r>
    </w:p>
    <w:tbl>
      <w:tblPr>
        <w:tblStyle w:val="22"/>
        <w:tblW w:w="4998" w:type="pct"/>
        <w:tblInd w:w="0" w:type="dxa"/>
        <w:shd w:val="clear" w:color="auto" w:fill="auto"/>
        <w:tblLayout w:type="autofit"/>
        <w:tblCellMar>
          <w:top w:w="0" w:type="dxa"/>
          <w:left w:w="0" w:type="dxa"/>
          <w:bottom w:w="0" w:type="dxa"/>
          <w:right w:w="0" w:type="dxa"/>
        </w:tblCellMar>
      </w:tblPr>
      <w:tblGrid>
        <w:gridCol w:w="2435"/>
        <w:gridCol w:w="1199"/>
        <w:gridCol w:w="1244"/>
        <w:gridCol w:w="1235"/>
        <w:gridCol w:w="960"/>
        <w:gridCol w:w="1260"/>
      </w:tblGrid>
      <w:tr w14:paraId="1C924439">
        <w:tblPrEx>
          <w:shd w:val="clear" w:color="auto" w:fill="auto"/>
          <w:tblCellMar>
            <w:top w:w="0" w:type="dxa"/>
            <w:left w:w="0" w:type="dxa"/>
            <w:bottom w:w="0" w:type="dxa"/>
            <w:right w:w="0" w:type="dxa"/>
          </w:tblCellMar>
        </w:tblPrEx>
        <w:trPr>
          <w:trHeight w:val="48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9D180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487D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E6C33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4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14:paraId="58B2D86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分值（权重）</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B1C67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指标得分</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5933E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得分率</w:t>
            </w:r>
          </w:p>
        </w:tc>
      </w:tr>
      <w:tr w14:paraId="0FAAB2DC">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D0106">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单位职工全年出差次数</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48A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&gt;=500次</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524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563</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68AFDD1">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CBDA3">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5456D">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93.51%</w:t>
            </w:r>
          </w:p>
        </w:tc>
      </w:tr>
      <w:tr w14:paraId="000BB84E">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CC8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控告申诉职能完成率</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F84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D074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12C1F2B">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BAEAC">
            <w:pPr>
              <w:keepNext w:val="0"/>
              <w:keepLines w:val="0"/>
              <w:widowControl/>
              <w:suppressLineNumbers w:val="0"/>
              <w:ind w:left="0" w:leftChars="0" w:firstLine="0" w:firstLineChars="0"/>
              <w:jc w:val="center"/>
              <w:textAlignment w:val="center"/>
              <w:rPr>
                <w:rFonts w:hint="default"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962B3">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9A7FBF3">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3CD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民事检察工作完成率</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43F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A0E9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B92BFA3">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16BFC">
            <w:pPr>
              <w:keepNext w:val="0"/>
              <w:keepLines w:val="0"/>
              <w:widowControl/>
              <w:suppressLineNumbers w:val="0"/>
              <w:ind w:left="0" w:leftChars="0" w:firstLine="0" w:firstLineChars="0"/>
              <w:jc w:val="center"/>
              <w:textAlignment w:val="center"/>
              <w:rPr>
                <w:rFonts w:hint="default"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18CC1">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8F209D9">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994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全年组织培训人次</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625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&gt;=35人</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18D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96DAA0E">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B7865">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0239C">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1B284C7">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218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项目完成数</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71D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&gt;=3个</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2EB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8C91F3B">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AA80A">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32EDE">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625ECBC8">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7A8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印刷资料期数</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D9C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&gt;=5期</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4C86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1D525B2">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115DA">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77B20">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4E7F029">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4ED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检察建议采纳率</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966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&gt;=85%</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253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709DC2B">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14865">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4B9E6">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95.45%</w:t>
            </w:r>
          </w:p>
        </w:tc>
      </w:tr>
      <w:tr w14:paraId="731795E8">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3DD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委托业务完成率</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728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3DB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3AFC798">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E1F46">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E01B5">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0813A61">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955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信息网络及软件购置/更新验收合格率</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922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042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C7DAE8A">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6FCF4">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BA0ED">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7CEAA8F2">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1CA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资金分配准确率</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FED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4E6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6AB85A8">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C8BB5">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67D99">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6D71797">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ED6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办公/专用设备购置及时性</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06D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397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B59FA67">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592C4">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009BC">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89.94%</w:t>
            </w:r>
          </w:p>
        </w:tc>
      </w:tr>
      <w:tr w14:paraId="2178AD3C">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869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设施维护维修及时率</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08E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3DF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8524845">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3569F">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F754E">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C907414">
        <w:tblPrEx>
          <w:shd w:val="clear" w:color="auto" w:fill="auto"/>
          <w:tblCellMar>
            <w:top w:w="0" w:type="dxa"/>
            <w:left w:w="0" w:type="dxa"/>
            <w:bottom w:w="0" w:type="dxa"/>
            <w:right w:w="0" w:type="dxa"/>
          </w:tblCellMar>
        </w:tblPrEx>
        <w:trPr>
          <w:trHeight w:val="540" w:hRule="atLeast"/>
        </w:trPr>
        <w:tc>
          <w:tcPr>
            <w:tcW w:w="147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FB3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资金支付及时率</w:t>
            </w:r>
          </w:p>
        </w:tc>
        <w:tc>
          <w:tcPr>
            <w:tcW w:w="73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F81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7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60E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4DC45EC">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EB10B">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BD403">
            <w:pPr>
              <w:keepNext w:val="0"/>
              <w:keepLines w:val="0"/>
              <w:widowControl/>
              <w:suppressLineNumbers w:val="0"/>
              <w:ind w:left="0" w:leftChars="0" w:firstLine="0" w:firstLineChars="0"/>
              <w:jc w:val="center"/>
              <w:textAlignment w:val="center"/>
              <w:rPr>
                <w:rFonts w:hint="eastAsia" w:ascii="宋体" w:hAnsi="宋体" w:eastAsia="宋体" w:cs="宋体"/>
                <w:i w:val="0"/>
                <w:color w:val="333333"/>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007F826D">
        <w:tblPrEx>
          <w:shd w:val="clear" w:color="auto" w:fill="auto"/>
          <w:tblCellMar>
            <w:top w:w="0" w:type="dxa"/>
            <w:left w:w="0" w:type="dxa"/>
            <w:bottom w:w="0" w:type="dxa"/>
            <w:right w:w="0" w:type="dxa"/>
          </w:tblCellMar>
        </w:tblPrEx>
        <w:trPr>
          <w:trHeight w:val="540" w:hRule="atLeast"/>
        </w:trPr>
        <w:tc>
          <w:tcPr>
            <w:tcW w:w="298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F36D920">
            <w:pPr>
              <w:keepNext w:val="0"/>
              <w:keepLines w:val="0"/>
              <w:widowControl/>
              <w:suppressLineNumbers w:val="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合计</w:t>
            </w:r>
          </w:p>
        </w:tc>
        <w:tc>
          <w:tcPr>
            <w:tcW w:w="648"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top"/>
          </w:tcPr>
          <w:p w14:paraId="7CD0309A">
            <w:pPr>
              <w:keepNext w:val="0"/>
              <w:keepLines w:val="0"/>
              <w:widowControl/>
              <w:suppressLineNumbers w:val="0"/>
              <w:ind w:left="0" w:leftChars="0" w:firstLine="0" w:firstLineChars="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40</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F1F8AB2">
            <w:pPr>
              <w:keepNext w:val="0"/>
              <w:keepLines w:val="0"/>
              <w:widowControl/>
              <w:suppressLineNumbers w:val="0"/>
              <w:ind w:left="0" w:leftChars="0" w:firstLine="0" w:firstLineChars="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36.27</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7BA8D5F">
            <w:pPr>
              <w:keepNext w:val="0"/>
              <w:keepLines w:val="0"/>
              <w:widowControl/>
              <w:suppressLineNumbers w:val="0"/>
              <w:ind w:left="0" w:leftChars="0" w:firstLine="0" w:firstLineChars="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90.67%</w:t>
            </w:r>
          </w:p>
        </w:tc>
      </w:tr>
    </w:tbl>
    <w:p w14:paraId="34159D60">
      <w:pPr>
        <w:ind w:left="0" w:leftChars="0" w:firstLine="0" w:firstLineChars="0"/>
        <w:rPr>
          <w:rFonts w:hint="eastAsia"/>
          <w:szCs w:val="28"/>
        </w:rPr>
      </w:pPr>
    </w:p>
    <w:p w14:paraId="76BA00D7">
      <w:pPr>
        <w:rPr>
          <w:rFonts w:hint="eastAsia" w:cs="仿宋_GB2312"/>
          <w:b w:val="0"/>
          <w:bCs w:val="0"/>
          <w:szCs w:val="28"/>
        </w:rPr>
      </w:pPr>
      <w:r>
        <w:rPr>
          <w:rFonts w:hint="eastAsia" w:cs="仿宋_GB2312"/>
          <w:b/>
          <w:bCs/>
          <w:szCs w:val="28"/>
        </w:rPr>
        <w:t>单位职工全年出差次数：</w:t>
      </w:r>
      <w:r>
        <w:rPr>
          <w:rFonts w:hint="eastAsia" w:cs="仿宋_GB2312"/>
          <w:b w:val="0"/>
          <w:bCs w:val="0"/>
          <w:szCs w:val="28"/>
        </w:rPr>
        <w:t>用于统计单位职工在一年内的出差情况，年度指标是大于等于500次。实际完成563次，完成率112.60%，得分2.88，</w:t>
      </w:r>
      <w:r>
        <w:rPr>
          <w:rFonts w:hint="eastAsia" w:cs="仿宋_GB2312"/>
          <w:b w:val="0"/>
          <w:bCs w:val="0"/>
          <w:szCs w:val="28"/>
          <w:lang w:eastAsia="zh-CN"/>
        </w:rPr>
        <w:t>得分率</w:t>
      </w:r>
      <w:r>
        <w:rPr>
          <w:rFonts w:hint="eastAsia" w:cs="仿宋_GB2312"/>
          <w:b w:val="0"/>
          <w:bCs w:val="0"/>
          <w:szCs w:val="28"/>
        </w:rPr>
        <w:t>93.51%。表明职工出差工作较为频繁，基本满足业务外出需求。</w:t>
      </w:r>
    </w:p>
    <w:p w14:paraId="6410C4FA">
      <w:pPr>
        <w:rPr>
          <w:rFonts w:hint="eastAsia" w:cs="仿宋_GB2312"/>
          <w:b w:val="0"/>
          <w:bCs w:val="0"/>
          <w:szCs w:val="28"/>
        </w:rPr>
      </w:pPr>
      <w:r>
        <w:rPr>
          <w:rFonts w:hint="eastAsia" w:cs="仿宋_GB2312"/>
          <w:b/>
          <w:bCs/>
          <w:szCs w:val="28"/>
        </w:rPr>
        <w:t>控告申诉检察案件数：</w:t>
      </w:r>
      <w:r>
        <w:rPr>
          <w:rFonts w:hint="eastAsia" w:cs="仿宋_GB2312"/>
          <w:b w:val="0"/>
          <w:bCs w:val="0"/>
          <w:szCs w:val="28"/>
        </w:rPr>
        <w:t>反映控告申诉检察工作的业务量，年度指标为100次。实际完成情况与指标相符，完成率100%，得</w:t>
      </w:r>
      <w:r>
        <w:rPr>
          <w:rFonts w:hint="eastAsia" w:cs="仿宋_GB2312"/>
          <w:b w:val="0"/>
          <w:bCs w:val="0"/>
          <w:szCs w:val="28"/>
          <w:lang w:val="en-US" w:eastAsia="zh-CN"/>
        </w:rPr>
        <w:t>分</w:t>
      </w:r>
      <w:r>
        <w:rPr>
          <w:rFonts w:hint="eastAsia" w:cs="仿宋_GB2312"/>
          <w:b w:val="0"/>
          <w:bCs w:val="0"/>
          <w:szCs w:val="28"/>
        </w:rPr>
        <w:t>3.08分，</w:t>
      </w:r>
      <w:r>
        <w:rPr>
          <w:rFonts w:hint="eastAsia" w:cs="仿宋_GB2312"/>
          <w:b w:val="0"/>
          <w:bCs w:val="0"/>
          <w:szCs w:val="28"/>
          <w:lang w:eastAsia="zh-CN"/>
        </w:rPr>
        <w:t>得分率</w:t>
      </w:r>
      <w:r>
        <w:rPr>
          <w:rFonts w:hint="eastAsia" w:cs="仿宋_GB2312"/>
          <w:b w:val="0"/>
          <w:bCs w:val="0"/>
          <w:szCs w:val="28"/>
        </w:rPr>
        <w:t>100%，显示该业务按计划有序开展。</w:t>
      </w:r>
    </w:p>
    <w:p w14:paraId="4BCB012B">
      <w:pPr>
        <w:rPr>
          <w:rFonts w:hint="eastAsia" w:cs="仿宋_GB2312"/>
          <w:b/>
          <w:bCs/>
          <w:szCs w:val="28"/>
        </w:rPr>
      </w:pPr>
      <w:r>
        <w:rPr>
          <w:rFonts w:hint="eastAsia" w:cs="仿宋_GB2312"/>
          <w:b/>
          <w:bCs/>
          <w:szCs w:val="28"/>
        </w:rPr>
        <w:t>民事检察工作完成率：</w:t>
      </w:r>
      <w:r>
        <w:rPr>
          <w:rFonts w:hint="eastAsia" w:cs="仿宋_GB2312"/>
          <w:b w:val="0"/>
          <w:bCs w:val="0"/>
          <w:szCs w:val="28"/>
        </w:rPr>
        <w:t>考核民事检察工作的完成程度，年度指标为100%。实际完成率也为100%，获</w:t>
      </w:r>
      <w:r>
        <w:rPr>
          <w:rFonts w:hint="eastAsia" w:cs="仿宋_GB2312"/>
          <w:b w:val="0"/>
          <w:bCs w:val="0"/>
          <w:szCs w:val="28"/>
          <w:lang w:eastAsia="zh-CN"/>
        </w:rPr>
        <w:t>得分3</w:t>
      </w:r>
      <w:r>
        <w:rPr>
          <w:rFonts w:hint="eastAsia" w:cs="仿宋_GB2312"/>
          <w:b w:val="0"/>
          <w:bCs w:val="0"/>
          <w:szCs w:val="28"/>
        </w:rPr>
        <w:t>.08分，</w:t>
      </w:r>
      <w:r>
        <w:rPr>
          <w:rFonts w:hint="eastAsia" w:cs="仿宋_GB2312"/>
          <w:b w:val="0"/>
          <w:bCs w:val="0"/>
          <w:szCs w:val="28"/>
          <w:lang w:eastAsia="zh-CN"/>
        </w:rPr>
        <w:t>得分率</w:t>
      </w:r>
      <w:r>
        <w:rPr>
          <w:rFonts w:hint="eastAsia" w:cs="仿宋_GB2312"/>
          <w:b w:val="0"/>
          <w:bCs w:val="0"/>
          <w:szCs w:val="28"/>
        </w:rPr>
        <w:t>100%，说明民事检察工作全面完成目标任务。</w:t>
      </w:r>
    </w:p>
    <w:p w14:paraId="12B103B2">
      <w:pPr>
        <w:rPr>
          <w:rFonts w:hint="eastAsia" w:cs="仿宋_GB2312"/>
          <w:b w:val="0"/>
          <w:bCs w:val="0"/>
          <w:szCs w:val="28"/>
        </w:rPr>
      </w:pPr>
      <w:r>
        <w:rPr>
          <w:rFonts w:hint="eastAsia" w:cs="仿宋_GB2312"/>
          <w:b/>
          <w:bCs/>
          <w:szCs w:val="28"/>
        </w:rPr>
        <w:t>全年组织培训人次：</w:t>
      </w:r>
      <w:r>
        <w:rPr>
          <w:rFonts w:hint="eastAsia" w:cs="仿宋_GB2312"/>
          <w:b w:val="0"/>
          <w:bCs w:val="0"/>
          <w:szCs w:val="28"/>
        </w:rPr>
        <w:t>体现检察院对职工培训的重视程度和落实情况，年度指标大于35人。实际完成54人，完成率154.29%，但得分却为0分，</w:t>
      </w:r>
      <w:r>
        <w:rPr>
          <w:rFonts w:hint="eastAsia" w:cs="仿宋_GB2312"/>
          <w:b w:val="0"/>
          <w:bCs w:val="0"/>
          <w:szCs w:val="28"/>
          <w:lang w:eastAsia="zh-CN"/>
        </w:rPr>
        <w:t>得分率</w:t>
      </w:r>
      <w:r>
        <w:rPr>
          <w:rFonts w:hint="eastAsia" w:cs="仿宋_GB2312"/>
          <w:b w:val="0"/>
          <w:bCs w:val="0"/>
          <w:szCs w:val="28"/>
        </w:rPr>
        <w:t>0%，</w:t>
      </w:r>
      <w:r>
        <w:rPr>
          <w:rFonts w:hint="eastAsia" w:cs="仿宋_GB2312"/>
          <w:b w:val="0"/>
          <w:bCs w:val="0"/>
          <w:szCs w:val="28"/>
          <w:lang w:val="en-US" w:eastAsia="zh-CN"/>
        </w:rPr>
        <w:t>原因</w:t>
      </w:r>
      <w:r>
        <w:rPr>
          <w:rFonts w:hint="eastAsia" w:cs="仿宋_GB2312"/>
          <w:b w:val="0"/>
          <w:bCs w:val="0"/>
          <w:szCs w:val="28"/>
        </w:rPr>
        <w:t>是</w:t>
      </w:r>
      <w:r>
        <w:rPr>
          <w:rFonts w:hint="eastAsia" w:cs="仿宋_GB2312"/>
          <w:b w:val="0"/>
          <w:bCs w:val="0"/>
          <w:szCs w:val="28"/>
          <w:lang w:val="en-US" w:eastAsia="zh-CN"/>
        </w:rPr>
        <w:t>年度指标值设置与实际完成值相差较大</w:t>
      </w:r>
      <w:r>
        <w:rPr>
          <w:rFonts w:hint="eastAsia" w:cs="仿宋_GB2312"/>
          <w:b w:val="0"/>
          <w:bCs w:val="0"/>
          <w:szCs w:val="28"/>
        </w:rPr>
        <w:t>。</w:t>
      </w:r>
    </w:p>
    <w:p w14:paraId="7BE65E6C">
      <w:pPr>
        <w:rPr>
          <w:rFonts w:hint="eastAsia" w:cs="仿宋_GB2312"/>
          <w:b w:val="0"/>
          <w:bCs w:val="0"/>
          <w:szCs w:val="28"/>
        </w:rPr>
      </w:pPr>
      <w:r>
        <w:rPr>
          <w:rFonts w:hint="eastAsia" w:cs="仿宋_GB2312"/>
          <w:b/>
          <w:bCs/>
          <w:szCs w:val="28"/>
        </w:rPr>
        <w:t>项目完成数：</w:t>
      </w:r>
      <w:r>
        <w:rPr>
          <w:rFonts w:hint="eastAsia" w:cs="仿宋_GB2312"/>
          <w:b w:val="0"/>
          <w:bCs w:val="0"/>
          <w:szCs w:val="28"/>
        </w:rPr>
        <w:t>衡量检察院项目推进情况，年度指标大于3个。实际完成3个，完成率100%，得</w:t>
      </w:r>
      <w:r>
        <w:rPr>
          <w:rFonts w:hint="eastAsia" w:cs="仿宋_GB2312"/>
          <w:b w:val="0"/>
          <w:bCs w:val="0"/>
          <w:szCs w:val="28"/>
          <w:lang w:val="en-US" w:eastAsia="zh-CN"/>
        </w:rPr>
        <w:t>分</w:t>
      </w:r>
      <w:r>
        <w:rPr>
          <w:rFonts w:hint="eastAsia" w:cs="仿宋_GB2312"/>
          <w:b w:val="0"/>
          <w:bCs w:val="0"/>
          <w:szCs w:val="28"/>
        </w:rPr>
        <w:t>3.08分，</w:t>
      </w:r>
      <w:r>
        <w:rPr>
          <w:rFonts w:hint="eastAsia" w:cs="仿宋_GB2312"/>
          <w:b w:val="0"/>
          <w:bCs w:val="0"/>
          <w:szCs w:val="28"/>
          <w:lang w:eastAsia="zh-CN"/>
        </w:rPr>
        <w:t>得分率</w:t>
      </w:r>
      <w:r>
        <w:rPr>
          <w:rFonts w:hint="eastAsia" w:cs="仿宋_GB2312"/>
          <w:b w:val="0"/>
          <w:bCs w:val="0"/>
          <w:szCs w:val="28"/>
        </w:rPr>
        <w:t>100%，表明项目按计划完成。</w:t>
      </w:r>
    </w:p>
    <w:p w14:paraId="7903A2B5">
      <w:pPr>
        <w:rPr>
          <w:rFonts w:hint="eastAsia" w:cs="仿宋_GB2312"/>
          <w:b w:val="0"/>
          <w:bCs w:val="0"/>
          <w:szCs w:val="28"/>
        </w:rPr>
      </w:pPr>
      <w:r>
        <w:rPr>
          <w:rFonts w:hint="eastAsia" w:cs="仿宋_GB2312"/>
          <w:b/>
          <w:bCs/>
          <w:szCs w:val="28"/>
        </w:rPr>
        <w:t>印刷资料期数：</w:t>
      </w:r>
      <w:r>
        <w:rPr>
          <w:rFonts w:hint="eastAsia" w:cs="仿宋_GB2312"/>
          <w:b w:val="0"/>
          <w:bCs w:val="0"/>
          <w:szCs w:val="28"/>
        </w:rPr>
        <w:t>指印刷资料的数量，年度指标为5期。实际完成5期，完成率100%，</w:t>
      </w:r>
      <w:r>
        <w:rPr>
          <w:rFonts w:hint="eastAsia" w:cs="仿宋_GB2312"/>
          <w:b w:val="0"/>
          <w:bCs w:val="0"/>
          <w:szCs w:val="28"/>
          <w:lang w:eastAsia="zh-CN"/>
        </w:rPr>
        <w:t>得分3</w:t>
      </w:r>
      <w:r>
        <w:rPr>
          <w:rFonts w:hint="eastAsia" w:cs="仿宋_GB2312"/>
          <w:b w:val="0"/>
          <w:bCs w:val="0"/>
          <w:szCs w:val="28"/>
        </w:rPr>
        <w:t>.08分，</w:t>
      </w:r>
      <w:r>
        <w:rPr>
          <w:rFonts w:hint="eastAsia" w:cs="仿宋_GB2312"/>
          <w:b w:val="0"/>
          <w:bCs w:val="0"/>
          <w:szCs w:val="28"/>
          <w:lang w:eastAsia="zh-CN"/>
        </w:rPr>
        <w:t>得分率</w:t>
      </w:r>
      <w:r>
        <w:rPr>
          <w:rFonts w:hint="eastAsia" w:cs="仿宋_GB2312"/>
          <w:b w:val="0"/>
          <w:bCs w:val="0"/>
          <w:szCs w:val="28"/>
        </w:rPr>
        <w:t>100%，说明相关资料印刷工作正常开展。</w:t>
      </w:r>
    </w:p>
    <w:p w14:paraId="6808881B">
      <w:pPr>
        <w:rPr>
          <w:rFonts w:hint="eastAsia" w:cs="仿宋_GB2312"/>
          <w:b w:val="0"/>
          <w:bCs w:val="0"/>
          <w:szCs w:val="28"/>
        </w:rPr>
      </w:pPr>
      <w:r>
        <w:rPr>
          <w:rFonts w:hint="eastAsia" w:cs="仿宋_GB2312"/>
          <w:b/>
          <w:bCs/>
          <w:szCs w:val="28"/>
        </w:rPr>
        <w:t>检察建议采纳率：</w:t>
      </w:r>
      <w:r>
        <w:rPr>
          <w:rFonts w:hint="eastAsia" w:cs="仿宋_GB2312"/>
          <w:b w:val="0"/>
          <w:bCs w:val="0"/>
          <w:szCs w:val="28"/>
        </w:rPr>
        <w:t>反映检察建议被相关单位接受和落实的比例，年度指标大于等于85%。实际完成95%，完成率111.76%，得分2.94，</w:t>
      </w:r>
      <w:r>
        <w:rPr>
          <w:rFonts w:hint="eastAsia" w:cs="仿宋_GB2312"/>
          <w:b w:val="0"/>
          <w:bCs w:val="0"/>
          <w:szCs w:val="28"/>
          <w:lang w:eastAsia="zh-CN"/>
        </w:rPr>
        <w:t>得分率</w:t>
      </w:r>
      <w:r>
        <w:rPr>
          <w:rFonts w:hint="eastAsia" w:cs="仿宋_GB2312"/>
          <w:b w:val="0"/>
          <w:bCs w:val="0"/>
          <w:szCs w:val="28"/>
        </w:rPr>
        <w:t>95.45%，说明检察建议工作取得较好成效，但仍有提升空间。</w:t>
      </w:r>
    </w:p>
    <w:p w14:paraId="2C2D584D">
      <w:pPr>
        <w:rPr>
          <w:rFonts w:hint="eastAsia" w:cs="仿宋_GB2312"/>
          <w:b w:val="0"/>
          <w:bCs w:val="0"/>
          <w:szCs w:val="28"/>
        </w:rPr>
      </w:pPr>
      <w:r>
        <w:rPr>
          <w:rFonts w:hint="eastAsia" w:cs="仿宋_GB2312"/>
          <w:b/>
          <w:bCs/>
          <w:szCs w:val="28"/>
        </w:rPr>
        <w:t>委托业务完成率：</w:t>
      </w:r>
      <w:r>
        <w:rPr>
          <w:rFonts w:hint="eastAsia" w:cs="仿宋_GB2312"/>
          <w:b w:val="0"/>
          <w:bCs w:val="0"/>
          <w:szCs w:val="28"/>
        </w:rPr>
        <w:t>考核委托业务的执行情况，年度指标为100%。实际完成率100%，</w:t>
      </w:r>
      <w:r>
        <w:rPr>
          <w:rFonts w:hint="eastAsia" w:cs="仿宋_GB2312"/>
          <w:b w:val="0"/>
          <w:bCs w:val="0"/>
          <w:szCs w:val="28"/>
          <w:lang w:eastAsia="zh-CN"/>
        </w:rPr>
        <w:t>得分3</w:t>
      </w:r>
      <w:r>
        <w:rPr>
          <w:rFonts w:hint="eastAsia" w:cs="仿宋_GB2312"/>
          <w:b w:val="0"/>
          <w:bCs w:val="0"/>
          <w:szCs w:val="28"/>
        </w:rPr>
        <w:t>.08分，</w:t>
      </w:r>
      <w:r>
        <w:rPr>
          <w:rFonts w:hint="eastAsia" w:cs="仿宋_GB2312"/>
          <w:b w:val="0"/>
          <w:bCs w:val="0"/>
          <w:szCs w:val="28"/>
          <w:lang w:eastAsia="zh-CN"/>
        </w:rPr>
        <w:t>得分率</w:t>
      </w:r>
      <w:r>
        <w:rPr>
          <w:rFonts w:hint="eastAsia" w:cs="仿宋_GB2312"/>
          <w:b w:val="0"/>
          <w:bCs w:val="0"/>
          <w:szCs w:val="28"/>
        </w:rPr>
        <w:t>100%，表示委托业务顺利完成。</w:t>
      </w:r>
    </w:p>
    <w:p w14:paraId="6EF8B170">
      <w:pPr>
        <w:rPr>
          <w:rFonts w:hint="eastAsia" w:cs="仿宋_GB2312"/>
          <w:b w:val="0"/>
          <w:bCs w:val="0"/>
          <w:szCs w:val="28"/>
        </w:rPr>
      </w:pPr>
      <w:r>
        <w:rPr>
          <w:rFonts w:hint="eastAsia" w:cs="仿宋_GB2312"/>
          <w:b/>
          <w:bCs/>
          <w:szCs w:val="28"/>
        </w:rPr>
        <w:t>信息网络及软件购置/更新验收合格率：</w:t>
      </w:r>
      <w:r>
        <w:rPr>
          <w:rFonts w:hint="eastAsia" w:cs="仿宋_GB2312"/>
          <w:b w:val="0"/>
          <w:bCs w:val="0"/>
          <w:szCs w:val="28"/>
        </w:rPr>
        <w:t>衡量信息网络及软件购置、更新后的质量情况，年度指标为100%。实际完成率100%，</w:t>
      </w:r>
      <w:r>
        <w:rPr>
          <w:rFonts w:hint="eastAsia" w:cs="仿宋_GB2312"/>
          <w:b w:val="0"/>
          <w:bCs w:val="0"/>
          <w:szCs w:val="28"/>
          <w:lang w:eastAsia="zh-CN"/>
        </w:rPr>
        <w:t>得分3</w:t>
      </w:r>
      <w:r>
        <w:rPr>
          <w:rFonts w:hint="eastAsia" w:cs="仿宋_GB2312"/>
          <w:b w:val="0"/>
          <w:bCs w:val="0"/>
          <w:szCs w:val="28"/>
        </w:rPr>
        <w:t>.08分，</w:t>
      </w:r>
      <w:r>
        <w:rPr>
          <w:rFonts w:hint="eastAsia" w:cs="仿宋_GB2312"/>
          <w:b w:val="0"/>
          <w:bCs w:val="0"/>
          <w:szCs w:val="28"/>
          <w:lang w:eastAsia="zh-CN"/>
        </w:rPr>
        <w:t>得分率</w:t>
      </w:r>
      <w:r>
        <w:rPr>
          <w:rFonts w:hint="eastAsia" w:cs="仿宋_GB2312"/>
          <w:b w:val="0"/>
          <w:bCs w:val="0"/>
          <w:szCs w:val="28"/>
        </w:rPr>
        <w:t>100%，说明相关工作符合要求。</w:t>
      </w:r>
    </w:p>
    <w:p w14:paraId="68BEA867">
      <w:pPr>
        <w:rPr>
          <w:rFonts w:hint="eastAsia" w:cs="仿宋_GB2312"/>
          <w:b w:val="0"/>
          <w:bCs w:val="0"/>
          <w:szCs w:val="28"/>
        </w:rPr>
      </w:pPr>
      <w:r>
        <w:rPr>
          <w:rFonts w:hint="eastAsia" w:cs="仿宋_GB2312"/>
          <w:b/>
          <w:bCs/>
          <w:szCs w:val="28"/>
        </w:rPr>
        <w:t>资金分配准确率：</w:t>
      </w:r>
      <w:r>
        <w:rPr>
          <w:rFonts w:hint="eastAsia" w:cs="仿宋_GB2312"/>
          <w:b w:val="0"/>
          <w:bCs w:val="0"/>
          <w:szCs w:val="28"/>
        </w:rPr>
        <w:t>体现中央政法转移支付资金分配的精准程度，年度指标大于95%。实际完成98%，完成率103.16%，</w:t>
      </w:r>
      <w:r>
        <w:rPr>
          <w:rFonts w:hint="eastAsia" w:cs="仿宋_GB2312"/>
          <w:b w:val="0"/>
          <w:bCs w:val="0"/>
          <w:szCs w:val="28"/>
          <w:lang w:eastAsia="zh-CN"/>
        </w:rPr>
        <w:t>得分3</w:t>
      </w:r>
      <w:r>
        <w:rPr>
          <w:rFonts w:hint="eastAsia" w:cs="仿宋_GB2312"/>
          <w:b w:val="0"/>
          <w:bCs w:val="0"/>
          <w:szCs w:val="28"/>
        </w:rPr>
        <w:t>.08分，</w:t>
      </w:r>
      <w:r>
        <w:rPr>
          <w:rFonts w:hint="eastAsia" w:cs="仿宋_GB2312"/>
          <w:b w:val="0"/>
          <w:bCs w:val="0"/>
          <w:szCs w:val="28"/>
          <w:lang w:eastAsia="zh-CN"/>
        </w:rPr>
        <w:t>得分率</w:t>
      </w:r>
      <w:r>
        <w:rPr>
          <w:rFonts w:hint="eastAsia" w:cs="仿宋_GB2312"/>
          <w:b w:val="0"/>
          <w:bCs w:val="0"/>
          <w:szCs w:val="28"/>
        </w:rPr>
        <w:t>100%，表明资金分配较为准确。</w:t>
      </w:r>
    </w:p>
    <w:p w14:paraId="335243E5">
      <w:pPr>
        <w:rPr>
          <w:rFonts w:hint="eastAsia" w:cs="仿宋_GB2312"/>
          <w:b w:val="0"/>
          <w:bCs w:val="0"/>
          <w:szCs w:val="28"/>
        </w:rPr>
      </w:pPr>
      <w:r>
        <w:rPr>
          <w:rFonts w:hint="eastAsia" w:cs="仿宋_GB2312"/>
          <w:b/>
          <w:bCs/>
          <w:szCs w:val="28"/>
        </w:rPr>
        <w:t>办公/专用设备购置及时率：</w:t>
      </w:r>
      <w:r>
        <w:rPr>
          <w:rFonts w:hint="eastAsia" w:cs="仿宋_GB2312"/>
          <w:b w:val="0"/>
          <w:bCs w:val="0"/>
          <w:szCs w:val="28"/>
        </w:rPr>
        <w:t>考核设备购置的及时性，要求在目标区间内。实际完成率100%，得分2.77，</w:t>
      </w:r>
      <w:r>
        <w:rPr>
          <w:rFonts w:hint="eastAsia" w:cs="仿宋_GB2312"/>
          <w:b w:val="0"/>
          <w:bCs w:val="0"/>
          <w:szCs w:val="28"/>
          <w:lang w:eastAsia="zh-CN"/>
        </w:rPr>
        <w:t>得分率</w:t>
      </w:r>
      <w:r>
        <w:rPr>
          <w:rFonts w:hint="eastAsia" w:cs="仿宋_GB2312"/>
          <w:b w:val="0"/>
          <w:bCs w:val="0"/>
          <w:szCs w:val="28"/>
        </w:rPr>
        <w:t>89.94%，说明基本能及时购置设备，但存在一些小问题影响得分。</w:t>
      </w:r>
    </w:p>
    <w:p w14:paraId="5F579912">
      <w:pPr>
        <w:ind w:left="0" w:leftChars="0" w:firstLine="562" w:firstLineChars="200"/>
        <w:rPr>
          <w:rFonts w:hint="eastAsia" w:cs="仿宋_GB2312"/>
          <w:b w:val="0"/>
          <w:bCs w:val="0"/>
          <w:szCs w:val="28"/>
        </w:rPr>
      </w:pPr>
      <w:r>
        <w:rPr>
          <w:rFonts w:hint="eastAsia" w:cs="仿宋_GB2312"/>
          <w:b/>
          <w:bCs/>
          <w:szCs w:val="28"/>
        </w:rPr>
        <w:t>设施维护维修及时率：</w:t>
      </w:r>
      <w:r>
        <w:rPr>
          <w:rFonts w:hint="eastAsia" w:cs="仿宋_GB2312"/>
          <w:b w:val="0"/>
          <w:bCs w:val="0"/>
          <w:szCs w:val="28"/>
        </w:rPr>
        <w:t>衡量设施维护维修的响应速度，年度指标大于90%。实际完成95%，完成率105.56%，</w:t>
      </w:r>
      <w:r>
        <w:rPr>
          <w:rFonts w:hint="eastAsia" w:cs="仿宋_GB2312"/>
          <w:b w:val="0"/>
          <w:bCs w:val="0"/>
          <w:szCs w:val="28"/>
          <w:lang w:eastAsia="zh-CN"/>
        </w:rPr>
        <w:t>得分3</w:t>
      </w:r>
      <w:r>
        <w:rPr>
          <w:rFonts w:hint="eastAsia" w:cs="仿宋_GB2312"/>
          <w:b w:val="0"/>
          <w:bCs w:val="0"/>
          <w:szCs w:val="28"/>
        </w:rPr>
        <w:t>.04分，</w:t>
      </w:r>
      <w:r>
        <w:rPr>
          <w:rFonts w:hint="eastAsia" w:cs="仿宋_GB2312"/>
          <w:b w:val="0"/>
          <w:bCs w:val="0"/>
          <w:szCs w:val="28"/>
          <w:lang w:eastAsia="zh-CN"/>
        </w:rPr>
        <w:t>得分率</w:t>
      </w:r>
      <w:r>
        <w:rPr>
          <w:rFonts w:hint="eastAsia" w:cs="仿宋_GB2312"/>
          <w:b w:val="0"/>
          <w:bCs w:val="0"/>
          <w:szCs w:val="28"/>
        </w:rPr>
        <w:t>100%，表明设施维护较为及时。</w:t>
      </w:r>
    </w:p>
    <w:p w14:paraId="372D2269">
      <w:pPr>
        <w:rPr>
          <w:rFonts w:hint="eastAsia" w:hAnsi="宋体"/>
          <w:b w:val="0"/>
          <w:bCs w:val="0"/>
          <w:szCs w:val="28"/>
          <w:highlight w:val="none"/>
        </w:rPr>
      </w:pPr>
      <w:r>
        <w:rPr>
          <w:rFonts w:hint="eastAsia" w:cs="仿宋_GB2312"/>
          <w:b/>
          <w:bCs/>
          <w:szCs w:val="28"/>
        </w:rPr>
        <w:t>资金支付及时率：</w:t>
      </w:r>
      <w:r>
        <w:rPr>
          <w:rFonts w:hint="eastAsia" w:cs="仿宋_GB2312"/>
          <w:b w:val="0"/>
          <w:bCs w:val="0"/>
          <w:szCs w:val="28"/>
        </w:rPr>
        <w:t>反映资金支付的时效性，年度指标大于等于95%。实际完成100%，完成率105.26%，</w:t>
      </w:r>
      <w:r>
        <w:rPr>
          <w:rFonts w:hint="eastAsia" w:cs="仿宋_GB2312"/>
          <w:b w:val="0"/>
          <w:bCs w:val="0"/>
          <w:szCs w:val="28"/>
          <w:lang w:eastAsia="zh-CN"/>
        </w:rPr>
        <w:t>得分3</w:t>
      </w:r>
      <w:r>
        <w:rPr>
          <w:rFonts w:hint="eastAsia" w:cs="仿宋_GB2312"/>
          <w:b w:val="0"/>
          <w:bCs w:val="0"/>
          <w:szCs w:val="28"/>
        </w:rPr>
        <w:t>.08分，</w:t>
      </w:r>
      <w:r>
        <w:rPr>
          <w:rFonts w:hint="eastAsia" w:cs="仿宋_GB2312"/>
          <w:b w:val="0"/>
          <w:bCs w:val="0"/>
          <w:szCs w:val="28"/>
          <w:lang w:eastAsia="zh-CN"/>
        </w:rPr>
        <w:t>得分率</w:t>
      </w:r>
      <w:r>
        <w:rPr>
          <w:rFonts w:hint="eastAsia" w:cs="仿宋_GB2312"/>
          <w:b w:val="0"/>
          <w:bCs w:val="0"/>
          <w:szCs w:val="28"/>
        </w:rPr>
        <w:t>100%，说明资金支付工作及时</w:t>
      </w:r>
      <w:r>
        <w:rPr>
          <w:rFonts w:hint="eastAsia" w:hAnsi="宋体"/>
          <w:b w:val="0"/>
          <w:bCs w:val="0"/>
          <w:szCs w:val="28"/>
          <w:highlight w:val="none"/>
        </w:rPr>
        <w:t>。</w:t>
      </w:r>
    </w:p>
    <w:p w14:paraId="6714A86C">
      <w:pPr>
        <w:ind w:firstLine="560"/>
        <w:rPr>
          <w:rFonts w:cs="Times New Roman"/>
          <w:szCs w:val="28"/>
          <w:lang w:bidi="ar"/>
        </w:rPr>
      </w:pPr>
      <w:r>
        <w:rPr>
          <w:rFonts w:hint="eastAsia" w:cs="Times New Roman"/>
          <w:szCs w:val="28"/>
          <w:lang w:eastAsia="zh-CN" w:bidi="ar"/>
        </w:rPr>
        <w:t>（</w:t>
      </w:r>
      <w:r>
        <w:rPr>
          <w:rFonts w:hint="eastAsia" w:cs="Times New Roman"/>
          <w:szCs w:val="28"/>
          <w:lang w:val="en-US" w:eastAsia="zh-CN" w:bidi="ar"/>
        </w:rPr>
        <w:t>3</w:t>
      </w:r>
      <w:r>
        <w:rPr>
          <w:rFonts w:hint="eastAsia" w:cs="Times New Roman"/>
          <w:szCs w:val="28"/>
          <w:lang w:eastAsia="zh-CN" w:bidi="ar"/>
        </w:rPr>
        <w:t>）</w:t>
      </w:r>
      <w:r>
        <w:rPr>
          <w:rFonts w:cs="Times New Roman"/>
          <w:szCs w:val="28"/>
          <w:lang w:bidi="ar"/>
        </w:rPr>
        <w:t>效益指标</w:t>
      </w:r>
    </w:p>
    <w:p w14:paraId="50D53008">
      <w:pPr>
        <w:ind w:firstLine="560"/>
        <w:rPr>
          <w:rFonts w:cs="Times New Roman"/>
          <w:color w:val="000000" w:themeColor="text1"/>
          <w:szCs w:val="28"/>
          <w:lang w:bidi="ar"/>
          <w14:textFill>
            <w14:solidFill>
              <w14:schemeClr w14:val="tx1"/>
            </w14:solidFill>
          </w14:textFill>
        </w:rPr>
      </w:pPr>
      <w:r>
        <w:rPr>
          <w:rFonts w:cs="Times New Roman"/>
          <w:szCs w:val="28"/>
          <w:lang w:bidi="ar"/>
        </w:rPr>
        <w:t>本项目主要考虑</w:t>
      </w:r>
      <w:r>
        <w:rPr>
          <w:rFonts w:hint="eastAsia" w:cs="Times New Roman"/>
          <w:szCs w:val="28"/>
          <w:lang w:bidi="ar"/>
        </w:rPr>
        <w:t>经济效益、社会效益、生态效益</w:t>
      </w:r>
      <w:r>
        <w:rPr>
          <w:rFonts w:hint="eastAsia" w:cs="Times New Roman"/>
          <w:szCs w:val="28"/>
          <w:lang w:val="en-US" w:eastAsia="zh-CN" w:bidi="ar"/>
        </w:rPr>
        <w:t>三</w:t>
      </w:r>
      <w:r>
        <w:rPr>
          <w:rFonts w:cs="Times New Roman"/>
          <w:szCs w:val="28"/>
          <w:lang w:bidi="ar"/>
        </w:rPr>
        <w:t>部分。</w:t>
      </w:r>
      <w:r>
        <w:rPr>
          <w:rFonts w:cs="Times New Roman"/>
          <w:color w:val="000000" w:themeColor="text1"/>
          <w:szCs w:val="28"/>
          <w:lang w:bidi="ar"/>
          <w14:textFill>
            <w14:solidFill>
              <w14:schemeClr w14:val="tx1"/>
            </w14:solidFill>
          </w14:textFill>
        </w:rPr>
        <w:t>总分值</w:t>
      </w:r>
      <w:r>
        <w:rPr>
          <w:rFonts w:hint="eastAsia" w:cs="Times New Roman"/>
          <w:color w:val="000000" w:themeColor="text1"/>
          <w:szCs w:val="28"/>
          <w:lang w:val="en-US" w:eastAsia="zh-CN" w:bidi="ar"/>
          <w14:textFill>
            <w14:solidFill>
              <w14:schemeClr w14:val="tx1"/>
            </w14:solidFill>
          </w14:textFill>
        </w:rPr>
        <w:t>2</w:t>
      </w:r>
      <w:r>
        <w:rPr>
          <w:rFonts w:hint="eastAsia" w:cs="Times New Roman"/>
          <w:color w:val="000000" w:themeColor="text1"/>
          <w:szCs w:val="28"/>
          <w:lang w:bidi="ar"/>
          <w14:textFill>
            <w14:solidFill>
              <w14:schemeClr w14:val="tx1"/>
            </w14:solidFill>
          </w14:textFill>
        </w:rPr>
        <w:t>0</w:t>
      </w:r>
      <w:r>
        <w:rPr>
          <w:rFonts w:cs="Times New Roman"/>
          <w:color w:val="000000" w:themeColor="text1"/>
          <w:szCs w:val="28"/>
          <w:lang w:bidi="ar"/>
          <w14:textFill>
            <w14:solidFill>
              <w14:schemeClr w14:val="tx1"/>
            </w14:solidFill>
          </w14:textFill>
        </w:rPr>
        <w:t>分，得分</w:t>
      </w:r>
      <w:r>
        <w:rPr>
          <w:rFonts w:hint="eastAsia" w:cs="Times New Roman"/>
          <w:color w:val="000000" w:themeColor="text1"/>
          <w:szCs w:val="28"/>
          <w:lang w:val="en-US" w:eastAsia="zh-CN" w:bidi="ar"/>
          <w14:textFill>
            <w14:solidFill>
              <w14:schemeClr w14:val="tx1"/>
            </w14:solidFill>
          </w14:textFill>
        </w:rPr>
        <w:t>18.5</w:t>
      </w:r>
      <w:r>
        <w:rPr>
          <w:rFonts w:cs="Times New Roman"/>
          <w:color w:val="000000" w:themeColor="text1"/>
          <w:szCs w:val="28"/>
          <w:lang w:bidi="ar"/>
          <w14:textFill>
            <w14:solidFill>
              <w14:schemeClr w14:val="tx1"/>
            </w14:solidFill>
          </w14:textFill>
        </w:rPr>
        <w:t>分，得分率</w:t>
      </w:r>
      <w:r>
        <w:rPr>
          <w:rFonts w:hint="eastAsia" w:cs="Times New Roman"/>
          <w:color w:val="000000" w:themeColor="text1"/>
          <w:szCs w:val="28"/>
          <w:lang w:val="en-US" w:eastAsia="zh-CN" w:bidi="ar"/>
          <w14:textFill>
            <w14:solidFill>
              <w14:schemeClr w14:val="tx1"/>
            </w14:solidFill>
          </w14:textFill>
        </w:rPr>
        <w:t>92.50</w:t>
      </w:r>
      <w:r>
        <w:rPr>
          <w:rFonts w:cs="Times New Roman"/>
          <w:color w:val="000000" w:themeColor="text1"/>
          <w:szCs w:val="28"/>
          <w:lang w:bidi="ar"/>
          <w14:textFill>
            <w14:solidFill>
              <w14:schemeClr w14:val="tx1"/>
            </w14:solidFill>
          </w14:textFill>
        </w:rPr>
        <w:t>%。</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1470"/>
        <w:gridCol w:w="1515"/>
        <w:gridCol w:w="900"/>
        <w:gridCol w:w="960"/>
        <w:gridCol w:w="1058"/>
      </w:tblGrid>
      <w:tr w14:paraId="43E4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14:paraId="5BC501C1">
            <w:pPr>
              <w:spacing w:line="240" w:lineRule="auto"/>
              <w:ind w:firstLine="0" w:firstLineChars="0"/>
              <w:jc w:val="center"/>
              <w:rPr>
                <w:rFonts w:hAnsi="等线"/>
                <w:b/>
                <w:sz w:val="24"/>
                <w:szCs w:val="24"/>
              </w:rPr>
            </w:pPr>
            <w:r>
              <w:rPr>
                <w:rFonts w:hAnsi="等线" w:cs="Times New Roman"/>
                <w:b/>
                <w:sz w:val="24"/>
                <w:szCs w:val="24"/>
                <w:lang w:bidi="ar"/>
              </w:rPr>
              <w:t>三级指标</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7582133E">
            <w:pPr>
              <w:spacing w:line="240" w:lineRule="auto"/>
              <w:ind w:firstLine="0" w:firstLineChars="0"/>
              <w:jc w:val="center"/>
              <w:rPr>
                <w:rFonts w:hAnsi="等线"/>
                <w:b/>
                <w:sz w:val="24"/>
                <w:szCs w:val="24"/>
              </w:rPr>
            </w:pPr>
            <w:r>
              <w:rPr>
                <w:rFonts w:hAnsi="等线" w:cs="Times New Roman"/>
                <w:b/>
                <w:sz w:val="24"/>
                <w:szCs w:val="24"/>
                <w:lang w:bidi="ar"/>
              </w:rPr>
              <w:t>年度指标值</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7FAD31B">
            <w:pPr>
              <w:spacing w:line="240" w:lineRule="auto"/>
              <w:ind w:firstLine="0" w:firstLineChars="0"/>
              <w:jc w:val="center"/>
              <w:rPr>
                <w:rFonts w:hAnsi="等线"/>
                <w:b/>
                <w:sz w:val="24"/>
                <w:szCs w:val="24"/>
              </w:rPr>
            </w:pPr>
            <w:r>
              <w:rPr>
                <w:rFonts w:hAnsi="等线" w:cs="Times New Roman"/>
                <w:b/>
                <w:sz w:val="24"/>
                <w:szCs w:val="24"/>
                <w:lang w:bidi="ar"/>
              </w:rPr>
              <w:t>实际完成值</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8185F2A">
            <w:pPr>
              <w:spacing w:line="240" w:lineRule="auto"/>
              <w:ind w:firstLine="0" w:firstLineChars="0"/>
              <w:jc w:val="center"/>
              <w:rPr>
                <w:rFonts w:hAnsi="等线"/>
                <w:b/>
                <w:sz w:val="24"/>
                <w:szCs w:val="24"/>
              </w:rPr>
            </w:pPr>
            <w:r>
              <w:rPr>
                <w:rFonts w:hAnsi="等线" w:cs="Times New Roman"/>
                <w:b/>
                <w:sz w:val="24"/>
                <w:szCs w:val="24"/>
                <w:lang w:bidi="ar"/>
              </w:rPr>
              <w:t>分值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D7F1EA2">
            <w:pPr>
              <w:spacing w:line="240" w:lineRule="auto"/>
              <w:ind w:firstLine="0" w:firstLineChars="0"/>
              <w:jc w:val="center"/>
              <w:rPr>
                <w:rFonts w:hAnsi="等线"/>
                <w:b/>
                <w:sz w:val="24"/>
                <w:szCs w:val="24"/>
              </w:rPr>
            </w:pPr>
            <w:r>
              <w:rPr>
                <w:rFonts w:hAnsi="等线" w:cs="Times New Roman"/>
                <w:b/>
                <w:sz w:val="24"/>
                <w:szCs w:val="24"/>
                <w:lang w:bidi="ar"/>
              </w:rPr>
              <w:t>得分</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19C90DAA">
            <w:pPr>
              <w:spacing w:line="240" w:lineRule="auto"/>
              <w:ind w:firstLine="0" w:firstLineChars="0"/>
              <w:jc w:val="center"/>
              <w:rPr>
                <w:rFonts w:hAnsi="等线"/>
                <w:b/>
                <w:sz w:val="24"/>
                <w:szCs w:val="24"/>
              </w:rPr>
            </w:pPr>
            <w:r>
              <w:rPr>
                <w:rFonts w:hAnsi="等线" w:cs="Times New Roman"/>
                <w:b/>
                <w:sz w:val="24"/>
                <w:szCs w:val="24"/>
                <w:lang w:bidi="ar"/>
              </w:rPr>
              <w:t>得分率</w:t>
            </w:r>
          </w:p>
        </w:tc>
      </w:tr>
      <w:tr w14:paraId="0DD1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14:paraId="0651A2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挽回经济损失效果</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0D6472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16F02C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CC24B5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01235A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778A73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3468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14:paraId="2F8D51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群众来信回复率</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B7C5B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16097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101EE3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EA703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238B62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0E8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14:paraId="4A64B7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社会满意度</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6C968E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7281F2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0882D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18128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07F7F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6EC1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14:paraId="76EAE3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生态环境保护</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F42A5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74810A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EA0E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CFD5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DE51C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5ABE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6520E1">
            <w:pPr>
              <w:spacing w:line="240" w:lineRule="auto"/>
              <w:ind w:firstLine="0" w:firstLineChars="0"/>
              <w:jc w:val="center"/>
              <w:rPr>
                <w:rFonts w:cs="仿宋_GB2312"/>
                <w:b/>
                <w:bCs/>
                <w:sz w:val="24"/>
                <w:szCs w:val="24"/>
              </w:rPr>
            </w:pPr>
            <w:r>
              <w:rPr>
                <w:rFonts w:hint="eastAsia" w:cs="仿宋_GB2312"/>
                <w:b/>
                <w:bCs/>
                <w:sz w:val="24"/>
                <w:szCs w:val="24"/>
                <w:lang w:bidi="ar"/>
              </w:rPr>
              <w:t>合计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811F8FA">
            <w:pPr>
              <w:spacing w:line="240" w:lineRule="auto"/>
              <w:ind w:firstLine="0" w:firstLineChars="0"/>
              <w:jc w:val="both"/>
              <w:rPr>
                <w:rFonts w:cs="仿宋_GB2312"/>
                <w:b/>
                <w:bCs/>
                <w:sz w:val="24"/>
                <w:szCs w:val="24"/>
              </w:rPr>
            </w:pPr>
            <w:r>
              <w:rPr>
                <w:rFonts w:hint="eastAsia" w:cs="仿宋_GB2312"/>
                <w:b/>
                <w:bCs/>
                <w:sz w:val="24"/>
                <w:szCs w:val="24"/>
                <w:lang w:val="en-US" w:eastAsia="zh-CN"/>
              </w:rPr>
              <w:t>2</w:t>
            </w:r>
            <w:r>
              <w:rPr>
                <w:rFonts w:hint="eastAsia" w:cs="仿宋_GB2312"/>
                <w:b/>
                <w:bCs/>
                <w:sz w:val="24"/>
                <w:szCs w:val="24"/>
              </w:rPr>
              <w:t>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F4844D1">
            <w:pPr>
              <w:spacing w:line="240" w:lineRule="auto"/>
              <w:ind w:firstLine="0" w:firstLineChars="0"/>
              <w:jc w:val="both"/>
              <w:rPr>
                <w:rFonts w:hint="default" w:eastAsia="仿宋_GB2312" w:cs="仿宋_GB2312"/>
                <w:b/>
                <w:bCs/>
                <w:sz w:val="24"/>
                <w:szCs w:val="24"/>
                <w:lang w:val="en-US" w:eastAsia="zh-CN"/>
              </w:rPr>
            </w:pPr>
            <w:r>
              <w:rPr>
                <w:rFonts w:hint="eastAsia" w:cs="仿宋_GB2312"/>
                <w:b/>
                <w:bCs/>
                <w:sz w:val="24"/>
                <w:szCs w:val="24"/>
                <w:lang w:val="en-US" w:eastAsia="zh-CN"/>
              </w:rPr>
              <w:t>18.5</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2B44860B">
            <w:pPr>
              <w:spacing w:line="240" w:lineRule="auto"/>
              <w:ind w:firstLine="0" w:firstLineChars="0"/>
              <w:jc w:val="center"/>
              <w:rPr>
                <w:rFonts w:hAnsi="等线"/>
                <w:b/>
                <w:bCs/>
                <w:sz w:val="24"/>
                <w:szCs w:val="24"/>
              </w:rPr>
            </w:pPr>
            <w:r>
              <w:rPr>
                <w:rFonts w:hint="eastAsia" w:hAnsi="等线"/>
                <w:b/>
                <w:bCs/>
                <w:sz w:val="24"/>
                <w:szCs w:val="24"/>
                <w:lang w:val="en-US" w:eastAsia="zh-CN"/>
              </w:rPr>
              <w:t>92.50</w:t>
            </w:r>
            <w:r>
              <w:rPr>
                <w:rFonts w:hint="eastAsia" w:hAnsi="等线"/>
                <w:b/>
                <w:bCs/>
                <w:sz w:val="24"/>
                <w:szCs w:val="24"/>
              </w:rPr>
              <w:t>%</w:t>
            </w:r>
          </w:p>
        </w:tc>
      </w:tr>
    </w:tbl>
    <w:p w14:paraId="655E8708">
      <w:pPr>
        <w:ind w:firstLine="562"/>
        <w:rPr>
          <w:rFonts w:hint="eastAsia" w:cs="Times New Roman"/>
          <w:b/>
          <w:bCs/>
          <w:szCs w:val="28"/>
          <w:highlight w:val="none"/>
          <w:lang w:bidi="ar"/>
        </w:rPr>
      </w:pPr>
    </w:p>
    <w:p w14:paraId="072624D4">
      <w:pPr>
        <w:ind w:firstLine="562"/>
        <w:rPr>
          <w:rFonts w:hint="eastAsia" w:cs="Times New Roman"/>
          <w:b w:val="0"/>
          <w:bCs w:val="0"/>
          <w:szCs w:val="28"/>
          <w:highlight w:val="none"/>
          <w:lang w:bidi="ar"/>
        </w:rPr>
      </w:pPr>
      <w:r>
        <w:rPr>
          <w:rFonts w:hint="eastAsia" w:cs="Times New Roman"/>
          <w:b/>
          <w:bCs/>
          <w:szCs w:val="28"/>
          <w:highlight w:val="none"/>
          <w:lang w:bidi="ar"/>
        </w:rPr>
        <w:t> 挽回经济损失效果：</w:t>
      </w:r>
      <w:r>
        <w:rPr>
          <w:rFonts w:hint="eastAsia" w:cs="Times New Roman"/>
          <w:b w:val="0"/>
          <w:bCs w:val="0"/>
          <w:szCs w:val="28"/>
          <w:highlight w:val="none"/>
          <w:lang w:bidi="ar"/>
        </w:rPr>
        <w:t>评估通过检察工作挽回经济损失的成效，年度指标为明显。实际完成情况符合要求，得</w:t>
      </w:r>
      <w:r>
        <w:rPr>
          <w:rFonts w:hint="eastAsia" w:cs="Times New Roman"/>
          <w:b w:val="0"/>
          <w:bCs w:val="0"/>
          <w:szCs w:val="28"/>
          <w:highlight w:val="none"/>
          <w:lang w:val="en-US" w:eastAsia="zh-CN" w:bidi="ar"/>
        </w:rPr>
        <w:t>分</w:t>
      </w:r>
      <w:r>
        <w:rPr>
          <w:rFonts w:hint="eastAsia" w:cs="Times New Roman"/>
          <w:b w:val="0"/>
          <w:bCs w:val="0"/>
          <w:szCs w:val="28"/>
          <w:highlight w:val="none"/>
          <w:lang w:bidi="ar"/>
        </w:rPr>
        <w:t>4.5分，得</w:t>
      </w:r>
      <w:r>
        <w:rPr>
          <w:rFonts w:hint="eastAsia" w:cs="Times New Roman"/>
          <w:b w:val="0"/>
          <w:bCs w:val="0"/>
          <w:szCs w:val="28"/>
          <w:highlight w:val="none"/>
          <w:lang w:val="en-US" w:eastAsia="zh-CN" w:bidi="ar"/>
        </w:rPr>
        <w:t>分率9</w:t>
      </w:r>
      <w:r>
        <w:rPr>
          <w:rFonts w:hint="eastAsia" w:cs="Times New Roman"/>
          <w:b w:val="0"/>
          <w:bCs w:val="0"/>
          <w:szCs w:val="28"/>
          <w:highlight w:val="none"/>
          <w:lang w:bidi="ar"/>
        </w:rPr>
        <w:t>0%，表明在挽回经济损失方面效果显著。</w:t>
      </w:r>
    </w:p>
    <w:p w14:paraId="0711D668">
      <w:pPr>
        <w:ind w:firstLine="562"/>
        <w:rPr>
          <w:rFonts w:hint="eastAsia" w:cs="Times New Roman"/>
          <w:b w:val="0"/>
          <w:bCs w:val="0"/>
          <w:szCs w:val="28"/>
          <w:highlight w:val="none"/>
          <w:lang w:bidi="ar"/>
        </w:rPr>
      </w:pPr>
      <w:r>
        <w:rPr>
          <w:rFonts w:hint="eastAsia" w:cs="Times New Roman"/>
          <w:b/>
          <w:bCs/>
          <w:szCs w:val="28"/>
          <w:highlight w:val="none"/>
          <w:lang w:bidi="ar"/>
        </w:rPr>
        <w:t>群众来信回复率：</w:t>
      </w:r>
      <w:r>
        <w:rPr>
          <w:rFonts w:hint="eastAsia" w:cs="Times New Roman"/>
          <w:b w:val="0"/>
          <w:bCs w:val="0"/>
          <w:szCs w:val="28"/>
          <w:highlight w:val="none"/>
          <w:lang w:bidi="ar"/>
        </w:rPr>
        <w:t>体现对群众来信的处理和反馈情况，年度指标大于95%。实际完成98%，得5分，</w:t>
      </w:r>
      <w:r>
        <w:rPr>
          <w:rFonts w:hint="eastAsia" w:cs="Times New Roman"/>
          <w:b w:val="0"/>
          <w:bCs w:val="0"/>
          <w:szCs w:val="28"/>
          <w:highlight w:val="none"/>
          <w:lang w:eastAsia="zh-CN" w:bidi="ar"/>
        </w:rPr>
        <w:t>得分率</w:t>
      </w:r>
      <w:r>
        <w:rPr>
          <w:rFonts w:hint="eastAsia" w:cs="Times New Roman"/>
          <w:b w:val="0"/>
          <w:bCs w:val="0"/>
          <w:szCs w:val="28"/>
          <w:highlight w:val="none"/>
          <w:lang w:bidi="ar"/>
        </w:rPr>
        <w:t>100%，说明重视群众诉求，及时回复来信。</w:t>
      </w:r>
    </w:p>
    <w:p w14:paraId="660684E9">
      <w:pPr>
        <w:ind w:firstLine="562"/>
        <w:rPr>
          <w:rFonts w:hint="eastAsia" w:cs="Times New Roman"/>
          <w:b w:val="0"/>
          <w:bCs w:val="0"/>
          <w:szCs w:val="28"/>
          <w:highlight w:val="none"/>
          <w:lang w:bidi="ar"/>
        </w:rPr>
      </w:pPr>
      <w:r>
        <w:rPr>
          <w:rFonts w:hint="eastAsia" w:cs="Times New Roman"/>
          <w:b/>
          <w:bCs/>
          <w:szCs w:val="28"/>
          <w:highlight w:val="none"/>
          <w:lang w:bidi="ar"/>
        </w:rPr>
        <w:t>社会满意度：</w:t>
      </w:r>
      <w:r>
        <w:rPr>
          <w:rFonts w:hint="eastAsia" w:cs="Times New Roman"/>
          <w:b w:val="0"/>
          <w:bCs w:val="0"/>
          <w:szCs w:val="28"/>
          <w:highlight w:val="none"/>
          <w:lang w:bidi="ar"/>
        </w:rPr>
        <w:t>反映社会公众对检察院工作的满意程度，年度指标为满意。实际完成情况处于目标区间内，得分4.5，</w:t>
      </w:r>
      <w:r>
        <w:rPr>
          <w:rFonts w:hint="eastAsia" w:cs="Times New Roman"/>
          <w:b w:val="0"/>
          <w:bCs w:val="0"/>
          <w:szCs w:val="28"/>
          <w:highlight w:val="none"/>
          <w:lang w:eastAsia="zh-CN" w:bidi="ar"/>
        </w:rPr>
        <w:t>得分率</w:t>
      </w:r>
      <w:r>
        <w:rPr>
          <w:rFonts w:hint="eastAsia" w:cs="Times New Roman"/>
          <w:b w:val="0"/>
          <w:bCs w:val="0"/>
          <w:szCs w:val="28"/>
          <w:highlight w:val="none"/>
          <w:lang w:bidi="ar"/>
        </w:rPr>
        <w:t>90.00%，表明整体工作获得社会较高认可，但仍有改进之处。</w:t>
      </w:r>
    </w:p>
    <w:p w14:paraId="301EE0CC">
      <w:pPr>
        <w:ind w:firstLine="562"/>
        <w:rPr>
          <w:rFonts w:hint="eastAsia" w:cs="Times New Roman"/>
          <w:b w:val="0"/>
          <w:bCs w:val="0"/>
          <w:szCs w:val="28"/>
          <w:lang w:bidi="ar"/>
        </w:rPr>
      </w:pPr>
      <w:r>
        <w:rPr>
          <w:rFonts w:hint="eastAsia" w:cs="Times New Roman"/>
          <w:b/>
          <w:bCs/>
          <w:szCs w:val="28"/>
          <w:highlight w:val="none"/>
          <w:lang w:bidi="ar"/>
        </w:rPr>
        <w:t>生态环境保护：</w:t>
      </w:r>
      <w:r>
        <w:rPr>
          <w:rFonts w:hint="eastAsia" w:cs="Times New Roman"/>
          <w:b w:val="0"/>
          <w:bCs w:val="0"/>
          <w:szCs w:val="28"/>
          <w:highlight w:val="none"/>
          <w:lang w:bidi="ar"/>
        </w:rPr>
        <w:t>考核检察院在生态环境保护方面的工作落实情况，年度指标为是。实际完成处于目标区间内，得4.5分，</w:t>
      </w:r>
      <w:r>
        <w:rPr>
          <w:rFonts w:hint="eastAsia" w:cs="Times New Roman"/>
          <w:b w:val="0"/>
          <w:bCs w:val="0"/>
          <w:szCs w:val="28"/>
          <w:highlight w:val="none"/>
          <w:lang w:eastAsia="zh-CN" w:bidi="ar"/>
        </w:rPr>
        <w:t>得分率</w:t>
      </w:r>
      <w:r>
        <w:rPr>
          <w:rFonts w:hint="eastAsia" w:cs="Times New Roman"/>
          <w:b w:val="0"/>
          <w:bCs w:val="0"/>
          <w:szCs w:val="28"/>
          <w:highlight w:val="none"/>
          <w:lang w:bidi="ar"/>
        </w:rPr>
        <w:t>100%，说明在生态保护上有积极作为。</w:t>
      </w:r>
    </w:p>
    <w:p w14:paraId="6F3447A1">
      <w:pPr>
        <w:numPr>
          <w:ilvl w:val="0"/>
          <w:numId w:val="1"/>
        </w:numPr>
        <w:ind w:left="0" w:leftChars="0" w:firstLine="560" w:firstLineChars="200"/>
        <w:rPr>
          <w:rFonts w:hint="eastAsia" w:cs="Times New Roman"/>
          <w:szCs w:val="28"/>
          <w:highlight w:val="none"/>
          <w:lang w:bidi="ar"/>
        </w:rPr>
      </w:pPr>
      <w:r>
        <w:rPr>
          <w:rFonts w:hint="eastAsia" w:cs="Times New Roman"/>
          <w:szCs w:val="28"/>
          <w:highlight w:val="none"/>
          <w:lang w:bidi="ar"/>
        </w:rPr>
        <w:t>满意度指标</w:t>
      </w:r>
    </w:p>
    <w:tbl>
      <w:tblPr>
        <w:tblStyle w:val="22"/>
        <w:tblW w:w="5000" w:type="pct"/>
        <w:tblInd w:w="0" w:type="dxa"/>
        <w:shd w:val="clear" w:color="auto" w:fill="auto"/>
        <w:tblLayout w:type="autofit"/>
        <w:tblCellMar>
          <w:top w:w="0" w:type="dxa"/>
          <w:left w:w="0" w:type="dxa"/>
          <w:bottom w:w="0" w:type="dxa"/>
          <w:right w:w="0" w:type="dxa"/>
        </w:tblCellMar>
      </w:tblPr>
      <w:tblGrid>
        <w:gridCol w:w="2024"/>
        <w:gridCol w:w="1386"/>
        <w:gridCol w:w="1279"/>
        <w:gridCol w:w="1274"/>
        <w:gridCol w:w="1279"/>
        <w:gridCol w:w="1094"/>
      </w:tblGrid>
      <w:tr w14:paraId="6724F459">
        <w:tblPrEx>
          <w:tblCellMar>
            <w:top w:w="0" w:type="dxa"/>
            <w:left w:w="0" w:type="dxa"/>
            <w:bottom w:w="0" w:type="dxa"/>
            <w:right w:w="0" w:type="dxa"/>
          </w:tblCellMar>
        </w:tblPrEx>
        <w:trPr>
          <w:trHeight w:val="480" w:hRule="atLeast"/>
        </w:trPr>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8BA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AB7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59E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20AA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分值（权重）</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C6D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指标得分</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D74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得分率</w:t>
            </w:r>
          </w:p>
        </w:tc>
      </w:tr>
      <w:tr w14:paraId="39D5C5BD">
        <w:tblPrEx>
          <w:shd w:val="clear" w:color="auto" w:fill="auto"/>
          <w:tblCellMar>
            <w:top w:w="0" w:type="dxa"/>
            <w:left w:w="0" w:type="dxa"/>
            <w:bottom w:w="0" w:type="dxa"/>
            <w:right w:w="0" w:type="dxa"/>
          </w:tblCellMar>
        </w:tblPrEx>
        <w:trPr>
          <w:trHeight w:val="540" w:hRule="atLeast"/>
        </w:trPr>
        <w:tc>
          <w:tcPr>
            <w:tcW w:w="12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B1DE4">
            <w:pPr>
              <w:keepNext w:val="0"/>
              <w:keepLines w:val="0"/>
              <w:widowControl/>
              <w:suppressLineNumbers w:val="0"/>
              <w:ind w:left="0" w:leftChars="0" w:firstLine="0" w:firstLineChars="0"/>
              <w:jc w:val="both"/>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工作人员满意度</w:t>
            </w:r>
          </w:p>
        </w:tc>
        <w:tc>
          <w:tcPr>
            <w:tcW w:w="8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45BFD">
            <w:pPr>
              <w:keepNext w:val="0"/>
              <w:keepLines w:val="0"/>
              <w:widowControl/>
              <w:suppressLineNumbers w:val="0"/>
              <w:ind w:firstLine="400" w:firstLineChars="20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83571">
            <w:pPr>
              <w:keepNext w:val="0"/>
              <w:keepLines w:val="0"/>
              <w:widowControl/>
              <w:suppressLineNumbers w:val="0"/>
              <w:ind w:firstLine="400" w:firstLineChars="200"/>
              <w:jc w:val="center"/>
              <w:textAlignment w:val="center"/>
              <w:rPr>
                <w:rFonts w:hint="default" w:ascii="宋体" w:hAnsi="宋体" w:eastAsia="宋体" w:cs="宋体"/>
                <w:i w:val="0"/>
                <w:color w:val="333333"/>
                <w:sz w:val="20"/>
                <w:szCs w:val="20"/>
                <w:u w:val="none"/>
                <w:lang w:val="en-US"/>
              </w:rPr>
            </w:pPr>
            <w:r>
              <w:rPr>
                <w:rFonts w:hint="eastAsia" w:ascii="宋体" w:hAnsi="宋体" w:eastAsia="宋体" w:cs="宋体"/>
                <w:i w:val="0"/>
                <w:iCs w:val="0"/>
                <w:color w:val="000000"/>
                <w:kern w:val="0"/>
                <w:sz w:val="20"/>
                <w:szCs w:val="20"/>
                <w:u w:val="none"/>
                <w:lang w:val="en-US" w:eastAsia="zh-CN" w:bidi="ar"/>
              </w:rPr>
              <w:t>95</w:t>
            </w:r>
          </w:p>
        </w:tc>
        <w:tc>
          <w:tcPr>
            <w:tcW w:w="76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49CB97C">
            <w:pPr>
              <w:keepNext w:val="0"/>
              <w:keepLines w:val="0"/>
              <w:widowControl/>
              <w:suppressLineNumbers w:val="0"/>
              <w:ind w:firstLine="400" w:firstLineChars="200"/>
              <w:jc w:val="center"/>
              <w:textAlignment w:val="center"/>
              <w:rPr>
                <w:rFonts w:hint="default" w:ascii="宋体" w:hAnsi="宋体" w:eastAsia="宋体" w:cs="宋体"/>
                <w:i w:val="0"/>
                <w:color w:val="333333"/>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7458E">
            <w:pPr>
              <w:keepNext w:val="0"/>
              <w:keepLines w:val="0"/>
              <w:widowControl/>
              <w:suppressLineNumbers w:val="0"/>
              <w:ind w:firstLine="400" w:firstLineChars="200"/>
              <w:jc w:val="center"/>
              <w:textAlignment w:val="center"/>
              <w:rPr>
                <w:rFonts w:hint="default" w:ascii="宋体" w:hAnsi="宋体" w:eastAsia="宋体" w:cs="宋体"/>
                <w:i w:val="0"/>
                <w:color w:val="333333"/>
                <w:sz w:val="20"/>
                <w:szCs w:val="20"/>
                <w:u w:val="none"/>
                <w:lang w:val="en-US"/>
              </w:rPr>
            </w:pPr>
            <w:r>
              <w:rPr>
                <w:rFonts w:hint="eastAsia" w:ascii="宋体" w:hAnsi="宋体" w:eastAsia="宋体" w:cs="宋体"/>
                <w:i w:val="0"/>
                <w:iCs w:val="0"/>
                <w:color w:val="333333"/>
                <w:kern w:val="0"/>
                <w:sz w:val="20"/>
                <w:szCs w:val="20"/>
                <w:u w:val="none"/>
                <w:lang w:val="en-US" w:eastAsia="zh-CN" w:bidi="ar"/>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EC423">
            <w:pPr>
              <w:keepNext w:val="0"/>
              <w:keepLines w:val="0"/>
              <w:widowControl/>
              <w:suppressLineNumbers w:val="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100%</w:t>
            </w:r>
          </w:p>
        </w:tc>
      </w:tr>
      <w:tr w14:paraId="6FBC1E97">
        <w:tblPrEx>
          <w:shd w:val="clear" w:color="auto" w:fill="auto"/>
          <w:tblCellMar>
            <w:top w:w="0" w:type="dxa"/>
            <w:left w:w="0" w:type="dxa"/>
            <w:bottom w:w="0" w:type="dxa"/>
            <w:right w:w="0" w:type="dxa"/>
          </w:tblCellMar>
        </w:tblPrEx>
        <w:trPr>
          <w:trHeight w:val="540" w:hRule="atLeast"/>
        </w:trPr>
        <w:tc>
          <w:tcPr>
            <w:tcW w:w="281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09ACF">
            <w:pPr>
              <w:keepNext w:val="0"/>
              <w:keepLines w:val="0"/>
              <w:widowControl/>
              <w:suppressLineNumbers w:val="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合计</w:t>
            </w:r>
          </w:p>
        </w:tc>
        <w:tc>
          <w:tcPr>
            <w:tcW w:w="764" w:type="pc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777B1AA">
            <w:pPr>
              <w:keepNext w:val="0"/>
              <w:keepLines w:val="0"/>
              <w:widowControl/>
              <w:suppressLineNumbers w:val="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10</w:t>
            </w:r>
          </w:p>
        </w:tc>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9FDA4">
            <w:pPr>
              <w:keepNext w:val="0"/>
              <w:keepLines w:val="0"/>
              <w:widowControl/>
              <w:suppressLineNumbers w:val="0"/>
              <w:jc w:val="center"/>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02854">
            <w:pPr>
              <w:keepNext w:val="0"/>
              <w:keepLines w:val="0"/>
              <w:widowControl/>
              <w:suppressLineNumbers w:val="0"/>
              <w:jc w:val="left"/>
              <w:textAlignment w:val="center"/>
              <w:rPr>
                <w:rFonts w:hint="default" w:ascii="宋体" w:hAnsi="宋体" w:eastAsia="宋体" w:cs="宋体"/>
                <w:b/>
                <w:bCs/>
                <w:i w:val="0"/>
                <w:color w:val="333333"/>
                <w:kern w:val="0"/>
                <w:sz w:val="20"/>
                <w:szCs w:val="20"/>
                <w:u w:val="none"/>
                <w:lang w:val="en-US" w:eastAsia="zh-CN" w:bidi="ar"/>
              </w:rPr>
            </w:pPr>
            <w:r>
              <w:rPr>
                <w:rFonts w:hint="eastAsia" w:ascii="宋体" w:hAnsi="宋体" w:eastAsia="宋体" w:cs="宋体"/>
                <w:b/>
                <w:bCs/>
                <w:i w:val="0"/>
                <w:color w:val="333333"/>
                <w:kern w:val="0"/>
                <w:sz w:val="20"/>
                <w:szCs w:val="20"/>
                <w:u w:val="none"/>
                <w:lang w:val="en-US" w:eastAsia="zh-CN" w:bidi="ar"/>
              </w:rPr>
              <w:t>100%</w:t>
            </w:r>
          </w:p>
        </w:tc>
      </w:tr>
    </w:tbl>
    <w:p w14:paraId="3D78C25E">
      <w:pPr>
        <w:ind w:firstLine="560"/>
        <w:rPr>
          <w:rFonts w:hint="eastAsia"/>
          <w:lang w:eastAsia="zh-CN"/>
        </w:rPr>
      </w:pPr>
    </w:p>
    <w:p w14:paraId="30F7068A">
      <w:pPr>
        <w:ind w:firstLine="560"/>
        <w:rPr>
          <w:rFonts w:hint="eastAsia"/>
          <w:lang w:eastAsia="zh-CN"/>
        </w:rPr>
      </w:pPr>
      <w:r>
        <w:rPr>
          <w:rFonts w:hint="eastAsia"/>
          <w:b/>
          <w:bCs/>
          <w:lang w:eastAsia="zh-CN"/>
        </w:rPr>
        <w:t>工作人员满意度：</w:t>
      </w:r>
      <w:r>
        <w:rPr>
          <w:rFonts w:hint="eastAsia"/>
          <w:lang w:eastAsia="zh-CN"/>
        </w:rPr>
        <w:t>衡量检察院工作人员对工作的满意程度，年度指标大于90%。实际完成95%，得</w:t>
      </w:r>
      <w:r>
        <w:rPr>
          <w:rFonts w:hint="eastAsia"/>
          <w:lang w:val="en-US" w:eastAsia="zh-CN"/>
        </w:rPr>
        <w:t>分</w:t>
      </w:r>
      <w:r>
        <w:rPr>
          <w:rFonts w:hint="eastAsia"/>
          <w:lang w:eastAsia="zh-CN"/>
        </w:rPr>
        <w:t>10分，得</w:t>
      </w:r>
      <w:r>
        <w:rPr>
          <w:rFonts w:hint="eastAsia"/>
          <w:lang w:val="en-US" w:eastAsia="zh-CN"/>
        </w:rPr>
        <w:t>分</w:t>
      </w:r>
      <w:r>
        <w:rPr>
          <w:rFonts w:hint="eastAsia"/>
          <w:lang w:eastAsia="zh-CN"/>
        </w:rPr>
        <w:t>率100%，说明工作人员满意度较高。</w:t>
      </w:r>
    </w:p>
    <w:p w14:paraId="59E5EABD">
      <w:pPr>
        <w:pStyle w:val="6"/>
        <w:keepNext/>
        <w:keepLines w:val="0"/>
        <w:pageBreakBefore w:val="0"/>
        <w:widowControl w:val="0"/>
        <w:kinsoku/>
        <w:wordWrap/>
        <w:overflowPunct/>
        <w:topLinePunct w:val="0"/>
        <w:autoSpaceDE/>
        <w:autoSpaceDN/>
        <w:bidi w:val="0"/>
        <w:adjustRightInd/>
        <w:snapToGrid/>
        <w:ind w:firstLine="562"/>
        <w:textAlignment w:val="auto"/>
        <w:rPr>
          <w:szCs w:val="28"/>
        </w:rPr>
      </w:pPr>
      <w:r>
        <w:rPr>
          <w:rFonts w:hint="eastAsia"/>
          <w:szCs w:val="28"/>
        </w:rPr>
        <w:t>4</w:t>
      </w:r>
      <w:r>
        <w:rPr>
          <w:rFonts w:hAnsi="宋体"/>
          <w:szCs w:val="28"/>
        </w:rPr>
        <w:t>.</w:t>
      </w:r>
      <w:r>
        <w:rPr>
          <w:rFonts w:hint="eastAsia"/>
          <w:szCs w:val="28"/>
        </w:rPr>
        <w:t>偏离绩效目标的原因及下一步改进措施</w:t>
      </w:r>
    </w:p>
    <w:p w14:paraId="04159242">
      <w:pPr>
        <w:ind w:firstLine="560"/>
      </w:pPr>
      <w:r>
        <w:rPr>
          <w:rFonts w:hint="eastAsia"/>
          <w:highlight w:val="none"/>
          <w:lang w:val="en-US" w:eastAsia="zh-CN"/>
        </w:rPr>
        <w:t>由于部分数量指标在绩效申报时年度指标值与实际完成值相差较大，导致得分不准确。2024年绩效申报时，将进一步提高指标设置的精确度，确保指标得分准确。</w:t>
      </w:r>
    </w:p>
    <w:p w14:paraId="299AF237">
      <w:pPr>
        <w:pStyle w:val="4"/>
      </w:pPr>
      <w:bookmarkStart w:id="35" w:name="_Toc15616"/>
      <w:bookmarkStart w:id="36" w:name="_Toc31497"/>
      <w:r>
        <w:rPr>
          <w:rFonts w:hint="eastAsia"/>
          <w:lang w:val="en-US" w:eastAsia="zh-CN"/>
        </w:rPr>
        <w:t>五</w:t>
      </w:r>
      <w:r>
        <w:rPr>
          <w:rFonts w:hint="eastAsia"/>
        </w:rPr>
        <w:t>、绩效自评结果拟应用和公开情况</w:t>
      </w:r>
      <w:bookmarkEnd w:id="33"/>
      <w:bookmarkEnd w:id="34"/>
      <w:bookmarkEnd w:id="35"/>
      <w:bookmarkEnd w:id="36"/>
    </w:p>
    <w:p w14:paraId="5D7EC9E6">
      <w:pPr>
        <w:pStyle w:val="5"/>
        <w:widowControl/>
        <w:ind w:left="560" w:leftChars="200" w:firstLine="0" w:firstLineChars="0"/>
        <w:rPr>
          <w:rFonts w:hint="eastAsia"/>
          <w:lang w:eastAsia="zh-CN"/>
        </w:rPr>
      </w:pPr>
      <w:bookmarkStart w:id="37" w:name="_Toc3864"/>
      <w:r>
        <w:rPr>
          <w:rFonts w:hint="eastAsia"/>
          <w:lang w:val="en-US" w:eastAsia="zh-CN"/>
        </w:rPr>
        <w:t>（一）</w:t>
      </w:r>
      <w:r>
        <w:rPr>
          <w:rFonts w:hint="eastAsia"/>
          <w:lang w:eastAsia="zh-CN"/>
        </w:rPr>
        <w:t>结果应用</w:t>
      </w:r>
      <w:bookmarkEnd w:id="37"/>
    </w:p>
    <w:p w14:paraId="1BE41596">
      <w:pPr>
        <w:ind w:firstLine="560"/>
        <w:rPr>
          <w:rFonts w:hint="eastAsia"/>
          <w:highlight w:val="none"/>
          <w:lang w:val="en-US" w:eastAsia="zh-CN"/>
        </w:rPr>
      </w:pPr>
      <w:r>
        <w:rPr>
          <w:rFonts w:hint="eastAsia"/>
          <w:highlight w:val="none"/>
          <w:lang w:val="en-US" w:eastAsia="zh-CN"/>
        </w:rPr>
        <w:t>优化工作流程：依据绩效自评结果，针对办案流程中存在的耗时环节进行优化。例如，在审查起诉阶段，发现部分案件因证据收集和内部审批流程繁琐导致办理周期延长，将简化证据收集程序，明确各环节办理时限，提高办案效率，预计下一年度案件平均办理周期缩短。</w:t>
      </w:r>
    </w:p>
    <w:p w14:paraId="0499D416">
      <w:pPr>
        <w:ind w:firstLine="560"/>
        <w:rPr>
          <w:rFonts w:hint="eastAsia"/>
          <w:highlight w:val="none"/>
          <w:lang w:val="en-US" w:eastAsia="zh-CN"/>
        </w:rPr>
      </w:pPr>
      <w:r>
        <w:rPr>
          <w:rFonts w:hint="eastAsia"/>
          <w:highlight w:val="none"/>
          <w:lang w:val="en-US" w:eastAsia="zh-CN"/>
        </w:rPr>
        <w:t>加强队伍建设：通过分析干警在培训参与度、业务考核成绩等方面的绩效数据，制定更具针对性的培训计划。对于在刑事检察业务中表现薄弱的干警，组织专项业务培训；对于在理论研究方面欠缺的干警，安排相关课程和实践活动，提升整体队伍专业素养 。</w:t>
      </w:r>
    </w:p>
    <w:p w14:paraId="36E8F24F">
      <w:pPr>
        <w:ind w:firstLine="560"/>
        <w:rPr>
          <w:rFonts w:hint="eastAsia"/>
          <w:highlight w:val="none"/>
          <w:lang w:val="en-US" w:eastAsia="zh-CN"/>
        </w:rPr>
      </w:pPr>
      <w:r>
        <w:rPr>
          <w:rFonts w:hint="eastAsia"/>
          <w:highlight w:val="none"/>
          <w:lang w:val="en-US" w:eastAsia="zh-CN"/>
        </w:rPr>
        <w:t>资源合理配置：结合绩效自评对各部门资源使用效率的评估，合理分配人力、物力和财力资源。减少办公耗材浪费，将有限的资金投入到检察技术设备更新和信息化建设中，提升办案的科技化水平 。</w:t>
      </w:r>
    </w:p>
    <w:p w14:paraId="1A6015D2">
      <w:pPr>
        <w:pStyle w:val="5"/>
        <w:widowControl/>
        <w:ind w:left="560" w:leftChars="200" w:firstLine="0" w:firstLineChars="0"/>
        <w:rPr>
          <w:rFonts w:hint="eastAsia"/>
          <w:lang w:val="en-US" w:eastAsia="zh-CN"/>
        </w:rPr>
      </w:pPr>
      <w:bookmarkStart w:id="38" w:name="_Toc24583"/>
      <w:r>
        <w:rPr>
          <w:rFonts w:hint="eastAsia"/>
          <w:lang w:val="en-US" w:eastAsia="zh-CN"/>
        </w:rPr>
        <w:t>（二）结果公开</w:t>
      </w:r>
      <w:bookmarkEnd w:id="38"/>
    </w:p>
    <w:p w14:paraId="77DFEA41">
      <w:pPr>
        <w:adjustRightInd w:val="0"/>
        <w:spacing w:line="520" w:lineRule="exact"/>
        <w:ind w:firstLine="560" w:firstLineChars="200"/>
        <w:jc w:val="left"/>
        <w:rPr>
          <w:rFonts w:hint="eastAsia"/>
          <w:highlight w:val="none"/>
          <w:lang w:eastAsia="zh-CN"/>
        </w:rPr>
      </w:pPr>
      <w:r>
        <w:rPr>
          <w:rFonts w:hint="eastAsia"/>
          <w:highlight w:val="none"/>
          <w:lang w:eastAsia="zh-CN"/>
        </w:rPr>
        <w:t>公开平台：依托渭源县人民检察院官方网站，及时发布绩效自评结果报告，确保信息公开透明。同时，积极与当地政府政务公开平台对接，拓宽信息传播渠道，让社会各界更便捷地获取相关信息。</w:t>
      </w:r>
    </w:p>
    <w:p w14:paraId="6B6A9F19">
      <w:pPr>
        <w:adjustRightInd w:val="0"/>
        <w:spacing w:line="520" w:lineRule="exact"/>
        <w:ind w:firstLine="560" w:firstLineChars="200"/>
        <w:jc w:val="left"/>
        <w:rPr>
          <w:rFonts w:hint="eastAsia"/>
          <w:highlight w:val="none"/>
          <w:lang w:eastAsia="zh-CN"/>
        </w:rPr>
      </w:pPr>
      <w:r>
        <w:rPr>
          <w:rFonts w:hint="eastAsia"/>
          <w:highlight w:val="none"/>
          <w:lang w:eastAsia="zh-CN"/>
        </w:rPr>
        <w:t>公开内容：公开内容涵盖整体绩效目标完成情况、各项检察业务绩效数据、存在问题及改进措施等，以通俗易懂的语言和直观的数据图表呈现，增强公众对检察工作的了解和监督。</w:t>
      </w:r>
    </w:p>
    <w:p w14:paraId="70B5943A">
      <w:pPr>
        <w:adjustRightInd w:val="0"/>
        <w:spacing w:line="520" w:lineRule="exact"/>
        <w:ind w:firstLine="560" w:firstLineChars="200"/>
        <w:jc w:val="left"/>
        <w:rPr>
          <w:rFonts w:hint="eastAsia"/>
          <w:highlight w:val="none"/>
          <w:lang w:eastAsia="zh-CN"/>
        </w:rPr>
      </w:pPr>
      <w:r>
        <w:rPr>
          <w:rFonts w:hint="eastAsia"/>
          <w:highlight w:val="none"/>
          <w:lang w:eastAsia="zh-CN"/>
        </w:rPr>
        <w:t>回应机制：建立公众反馈渠道，对于公众对绩效自评结果提出的疑问和建议，及时给予解答和回应，根据反馈意见不断完善检察工作和绩效自评机制。</w:t>
      </w:r>
    </w:p>
    <w:p w14:paraId="2B67E3B1">
      <w:pPr>
        <w:pStyle w:val="4"/>
      </w:pPr>
      <w:bookmarkStart w:id="39" w:name="_Toc21490"/>
      <w:bookmarkStart w:id="40" w:name="_Toc29583"/>
      <w:bookmarkStart w:id="41" w:name="_Toc15370"/>
      <w:bookmarkStart w:id="42" w:name="_Toc29845"/>
      <w:r>
        <w:rPr>
          <w:rFonts w:hint="eastAsia"/>
          <w:lang w:val="en-US" w:eastAsia="zh-CN"/>
        </w:rPr>
        <w:t>六</w:t>
      </w:r>
      <w:r>
        <w:rPr>
          <w:rFonts w:hint="eastAsia"/>
        </w:rPr>
        <w:t>、其他需要说明的问题</w:t>
      </w:r>
      <w:bookmarkEnd w:id="39"/>
      <w:bookmarkEnd w:id="40"/>
      <w:bookmarkEnd w:id="41"/>
      <w:bookmarkEnd w:id="42"/>
    </w:p>
    <w:p w14:paraId="082F6204">
      <w:pPr>
        <w:widowControl/>
        <w:ind w:firstLine="560"/>
        <w:jc w:val="left"/>
        <w:rPr>
          <w:rFonts w:hAnsi="宋体"/>
          <w:szCs w:val="28"/>
        </w:rPr>
      </w:pPr>
      <w:r>
        <w:rPr>
          <w:rFonts w:hint="eastAsia" w:hAnsi="宋体"/>
          <w:szCs w:val="28"/>
        </w:rPr>
        <w:t>无</w:t>
      </w:r>
    </w:p>
    <w:sectPr>
      <w:footerReference r:id="rId11" w:type="default"/>
      <w:pgSz w:w="11906" w:h="16838"/>
      <w:pgMar w:top="1440" w:right="1800" w:bottom="1440" w:left="1800"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FBBD2">
    <w:pPr>
      <w:pStyle w:val="16"/>
      <w:ind w:firstLine="360"/>
      <w:jc w:val="center"/>
    </w:pPr>
  </w:p>
  <w:p w14:paraId="4A599197">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0EA6">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07D5">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966314"/>
    </w:sdtPr>
    <w:sdtContent>
      <w:p w14:paraId="200343E3">
        <w:pPr>
          <w:pStyle w:val="16"/>
          <w:ind w:firstLine="360"/>
          <w:jc w:val="center"/>
        </w:pPr>
        <w:r>
          <w:fldChar w:fldCharType="begin"/>
        </w:r>
        <w:r>
          <w:instrText xml:space="preserve">PAGE   \* MERGEFORMAT</w:instrText>
        </w:r>
        <w:r>
          <w:fldChar w:fldCharType="separate"/>
        </w:r>
        <w:r>
          <w:rPr>
            <w:lang w:val="zh-CN"/>
          </w:rPr>
          <w:t>2</w:t>
        </w:r>
        <w:r>
          <w:rPr>
            <w:lang w:val="zh-CN"/>
          </w:rPr>
          <w:fldChar w:fldCharType="end"/>
        </w:r>
      </w:p>
    </w:sdtContent>
  </w:sdt>
  <w:p w14:paraId="289F03DC">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A294">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A0BF">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FD3B">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16E77"/>
    <w:multiLevelType w:val="singleLevel"/>
    <w:tmpl w:val="A5516E77"/>
    <w:lvl w:ilvl="0" w:tentative="0">
      <w:start w:val="1"/>
      <w:numFmt w:val="decimal"/>
      <w:suff w:val="nothing"/>
      <w:lvlText w:val="（%1）"/>
      <w:lvlJc w:val="left"/>
    </w:lvl>
  </w:abstractNum>
  <w:abstractNum w:abstractNumId="1">
    <w:nsid w:val="F1468DD7"/>
    <w:multiLevelType w:val="singleLevel"/>
    <w:tmpl w:val="F1468DD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MjE0NTIwMDJjZWVjNDUzNTk2NjBkNWY1M2YyMTUifQ=="/>
  </w:docVars>
  <w:rsids>
    <w:rsidRoot w:val="00172A27"/>
    <w:rsid w:val="00014ECA"/>
    <w:rsid w:val="000213E1"/>
    <w:rsid w:val="00023797"/>
    <w:rsid w:val="00030303"/>
    <w:rsid w:val="00030D22"/>
    <w:rsid w:val="0003251B"/>
    <w:rsid w:val="0003556E"/>
    <w:rsid w:val="00036419"/>
    <w:rsid w:val="000438ED"/>
    <w:rsid w:val="00045E47"/>
    <w:rsid w:val="00050062"/>
    <w:rsid w:val="00050C68"/>
    <w:rsid w:val="00051050"/>
    <w:rsid w:val="00054571"/>
    <w:rsid w:val="00054BF9"/>
    <w:rsid w:val="00055545"/>
    <w:rsid w:val="00057C3C"/>
    <w:rsid w:val="0006123F"/>
    <w:rsid w:val="00064BA0"/>
    <w:rsid w:val="000768BF"/>
    <w:rsid w:val="0008092A"/>
    <w:rsid w:val="00080F05"/>
    <w:rsid w:val="000824D5"/>
    <w:rsid w:val="00083EB0"/>
    <w:rsid w:val="000857E7"/>
    <w:rsid w:val="000966CE"/>
    <w:rsid w:val="0009789F"/>
    <w:rsid w:val="000A3069"/>
    <w:rsid w:val="000B162D"/>
    <w:rsid w:val="000B499A"/>
    <w:rsid w:val="000B5EE8"/>
    <w:rsid w:val="000C5001"/>
    <w:rsid w:val="000C7A34"/>
    <w:rsid w:val="000D02CC"/>
    <w:rsid w:val="000E21DD"/>
    <w:rsid w:val="000E4E43"/>
    <w:rsid w:val="000E7CB2"/>
    <w:rsid w:val="000E7EEC"/>
    <w:rsid w:val="001043F0"/>
    <w:rsid w:val="00104D4A"/>
    <w:rsid w:val="00107B85"/>
    <w:rsid w:val="00110405"/>
    <w:rsid w:val="001115C8"/>
    <w:rsid w:val="001144A3"/>
    <w:rsid w:val="001218CA"/>
    <w:rsid w:val="00123295"/>
    <w:rsid w:val="00124027"/>
    <w:rsid w:val="00127AE4"/>
    <w:rsid w:val="001318D6"/>
    <w:rsid w:val="00142AAB"/>
    <w:rsid w:val="001469EA"/>
    <w:rsid w:val="00146AFC"/>
    <w:rsid w:val="00147219"/>
    <w:rsid w:val="00151394"/>
    <w:rsid w:val="0016489D"/>
    <w:rsid w:val="00166D33"/>
    <w:rsid w:val="00172A27"/>
    <w:rsid w:val="0017794A"/>
    <w:rsid w:val="00187620"/>
    <w:rsid w:val="0018791C"/>
    <w:rsid w:val="00187D6E"/>
    <w:rsid w:val="0019558D"/>
    <w:rsid w:val="0019687D"/>
    <w:rsid w:val="001971E3"/>
    <w:rsid w:val="00197906"/>
    <w:rsid w:val="001A6A95"/>
    <w:rsid w:val="001B5C69"/>
    <w:rsid w:val="001B6770"/>
    <w:rsid w:val="001C4598"/>
    <w:rsid w:val="001D118A"/>
    <w:rsid w:val="001D44D2"/>
    <w:rsid w:val="001D6C13"/>
    <w:rsid w:val="001E60FD"/>
    <w:rsid w:val="001E7EB9"/>
    <w:rsid w:val="001F504F"/>
    <w:rsid w:val="001F5884"/>
    <w:rsid w:val="00205DB9"/>
    <w:rsid w:val="00210E3F"/>
    <w:rsid w:val="00216967"/>
    <w:rsid w:val="00217014"/>
    <w:rsid w:val="00221093"/>
    <w:rsid w:val="002272BD"/>
    <w:rsid w:val="00234C24"/>
    <w:rsid w:val="002359C2"/>
    <w:rsid w:val="002410C1"/>
    <w:rsid w:val="00245EF8"/>
    <w:rsid w:val="00247E57"/>
    <w:rsid w:val="00250CE5"/>
    <w:rsid w:val="002602A0"/>
    <w:rsid w:val="00264319"/>
    <w:rsid w:val="002644B3"/>
    <w:rsid w:val="002646B4"/>
    <w:rsid w:val="00270387"/>
    <w:rsid w:val="002708CD"/>
    <w:rsid w:val="00271551"/>
    <w:rsid w:val="00277CD1"/>
    <w:rsid w:val="00284101"/>
    <w:rsid w:val="00291ABB"/>
    <w:rsid w:val="002A0996"/>
    <w:rsid w:val="002A138B"/>
    <w:rsid w:val="002A2E00"/>
    <w:rsid w:val="002D1764"/>
    <w:rsid w:val="002E49E9"/>
    <w:rsid w:val="002E56E5"/>
    <w:rsid w:val="002E66E3"/>
    <w:rsid w:val="002F1545"/>
    <w:rsid w:val="002F41C2"/>
    <w:rsid w:val="00303AF8"/>
    <w:rsid w:val="00303D48"/>
    <w:rsid w:val="003079AE"/>
    <w:rsid w:val="0031124F"/>
    <w:rsid w:val="003157EB"/>
    <w:rsid w:val="00317A62"/>
    <w:rsid w:val="00317D61"/>
    <w:rsid w:val="00324E61"/>
    <w:rsid w:val="00325C0E"/>
    <w:rsid w:val="00327D66"/>
    <w:rsid w:val="00327DA2"/>
    <w:rsid w:val="003375F0"/>
    <w:rsid w:val="00342010"/>
    <w:rsid w:val="00344D6E"/>
    <w:rsid w:val="00344EC5"/>
    <w:rsid w:val="00347693"/>
    <w:rsid w:val="00347716"/>
    <w:rsid w:val="003513EB"/>
    <w:rsid w:val="0035288A"/>
    <w:rsid w:val="00361E35"/>
    <w:rsid w:val="003625DD"/>
    <w:rsid w:val="00372B94"/>
    <w:rsid w:val="00375BFC"/>
    <w:rsid w:val="00376661"/>
    <w:rsid w:val="0038204E"/>
    <w:rsid w:val="00390024"/>
    <w:rsid w:val="00393B9F"/>
    <w:rsid w:val="003950A9"/>
    <w:rsid w:val="003A07DB"/>
    <w:rsid w:val="003C318A"/>
    <w:rsid w:val="003D4293"/>
    <w:rsid w:val="003D4CF5"/>
    <w:rsid w:val="003D7DA5"/>
    <w:rsid w:val="003E77A6"/>
    <w:rsid w:val="003F6224"/>
    <w:rsid w:val="00413889"/>
    <w:rsid w:val="004246BE"/>
    <w:rsid w:val="00426852"/>
    <w:rsid w:val="00426E93"/>
    <w:rsid w:val="00430D29"/>
    <w:rsid w:val="00433ABE"/>
    <w:rsid w:val="00436AD4"/>
    <w:rsid w:val="00441182"/>
    <w:rsid w:val="00441A48"/>
    <w:rsid w:val="00452EE4"/>
    <w:rsid w:val="004554DB"/>
    <w:rsid w:val="004557EB"/>
    <w:rsid w:val="00463F4B"/>
    <w:rsid w:val="004663B5"/>
    <w:rsid w:val="00466DA0"/>
    <w:rsid w:val="004706D3"/>
    <w:rsid w:val="00470CA9"/>
    <w:rsid w:val="00477568"/>
    <w:rsid w:val="00483DFE"/>
    <w:rsid w:val="004858AB"/>
    <w:rsid w:val="0048753B"/>
    <w:rsid w:val="004906C4"/>
    <w:rsid w:val="004A433D"/>
    <w:rsid w:val="004B6014"/>
    <w:rsid w:val="004B6B3B"/>
    <w:rsid w:val="004C3985"/>
    <w:rsid w:val="004C5A69"/>
    <w:rsid w:val="004D073A"/>
    <w:rsid w:val="004D7481"/>
    <w:rsid w:val="004E081D"/>
    <w:rsid w:val="004E24AA"/>
    <w:rsid w:val="004E3422"/>
    <w:rsid w:val="004F16D8"/>
    <w:rsid w:val="004F288A"/>
    <w:rsid w:val="004F3B61"/>
    <w:rsid w:val="004F45E7"/>
    <w:rsid w:val="00506184"/>
    <w:rsid w:val="005147A9"/>
    <w:rsid w:val="00515336"/>
    <w:rsid w:val="0052694A"/>
    <w:rsid w:val="00526A60"/>
    <w:rsid w:val="00531442"/>
    <w:rsid w:val="00531C61"/>
    <w:rsid w:val="00532A8C"/>
    <w:rsid w:val="00532BCE"/>
    <w:rsid w:val="005343EF"/>
    <w:rsid w:val="00536B92"/>
    <w:rsid w:val="00542C34"/>
    <w:rsid w:val="00543242"/>
    <w:rsid w:val="0054448D"/>
    <w:rsid w:val="00545820"/>
    <w:rsid w:val="00546C26"/>
    <w:rsid w:val="00560FF2"/>
    <w:rsid w:val="00561186"/>
    <w:rsid w:val="005632AC"/>
    <w:rsid w:val="005652E3"/>
    <w:rsid w:val="00570223"/>
    <w:rsid w:val="005721A1"/>
    <w:rsid w:val="00577DAE"/>
    <w:rsid w:val="005852D6"/>
    <w:rsid w:val="00586744"/>
    <w:rsid w:val="00586EBD"/>
    <w:rsid w:val="00593157"/>
    <w:rsid w:val="005936DD"/>
    <w:rsid w:val="00595153"/>
    <w:rsid w:val="005A1954"/>
    <w:rsid w:val="005A1D83"/>
    <w:rsid w:val="005A59BB"/>
    <w:rsid w:val="005A6FC9"/>
    <w:rsid w:val="005B3CC1"/>
    <w:rsid w:val="005D274F"/>
    <w:rsid w:val="005D6171"/>
    <w:rsid w:val="005E1A73"/>
    <w:rsid w:val="005F0701"/>
    <w:rsid w:val="005F14FC"/>
    <w:rsid w:val="005F22E9"/>
    <w:rsid w:val="006022B9"/>
    <w:rsid w:val="0060337F"/>
    <w:rsid w:val="00603BEC"/>
    <w:rsid w:val="0060545E"/>
    <w:rsid w:val="00610391"/>
    <w:rsid w:val="00611FD1"/>
    <w:rsid w:val="006129AE"/>
    <w:rsid w:val="00614C6E"/>
    <w:rsid w:val="006179FC"/>
    <w:rsid w:val="006240C7"/>
    <w:rsid w:val="006249F7"/>
    <w:rsid w:val="00626AE8"/>
    <w:rsid w:val="00631265"/>
    <w:rsid w:val="00632412"/>
    <w:rsid w:val="006401CF"/>
    <w:rsid w:val="00641242"/>
    <w:rsid w:val="00646DF6"/>
    <w:rsid w:val="00652D58"/>
    <w:rsid w:val="006564C1"/>
    <w:rsid w:val="006609FC"/>
    <w:rsid w:val="0068764C"/>
    <w:rsid w:val="00691BB9"/>
    <w:rsid w:val="0069632E"/>
    <w:rsid w:val="006977A0"/>
    <w:rsid w:val="006B062C"/>
    <w:rsid w:val="006B49EC"/>
    <w:rsid w:val="006B7FE5"/>
    <w:rsid w:val="006C61D7"/>
    <w:rsid w:val="006C7761"/>
    <w:rsid w:val="006D516C"/>
    <w:rsid w:val="006D77C4"/>
    <w:rsid w:val="006D7925"/>
    <w:rsid w:val="006E271B"/>
    <w:rsid w:val="006E328B"/>
    <w:rsid w:val="006E6792"/>
    <w:rsid w:val="006F0E15"/>
    <w:rsid w:val="006F18DA"/>
    <w:rsid w:val="006F598D"/>
    <w:rsid w:val="006F70D2"/>
    <w:rsid w:val="006F7E6D"/>
    <w:rsid w:val="00705DC4"/>
    <w:rsid w:val="00710ACA"/>
    <w:rsid w:val="00710AD0"/>
    <w:rsid w:val="007128DD"/>
    <w:rsid w:val="0071366B"/>
    <w:rsid w:val="00720B93"/>
    <w:rsid w:val="00723CF1"/>
    <w:rsid w:val="007341EC"/>
    <w:rsid w:val="00735AAD"/>
    <w:rsid w:val="0073698C"/>
    <w:rsid w:val="00736B4E"/>
    <w:rsid w:val="00736BD7"/>
    <w:rsid w:val="00737791"/>
    <w:rsid w:val="00737DEA"/>
    <w:rsid w:val="00742194"/>
    <w:rsid w:val="007423D7"/>
    <w:rsid w:val="00750518"/>
    <w:rsid w:val="0076122E"/>
    <w:rsid w:val="007615BC"/>
    <w:rsid w:val="00762BFF"/>
    <w:rsid w:val="00764EFF"/>
    <w:rsid w:val="00774018"/>
    <w:rsid w:val="00774307"/>
    <w:rsid w:val="007829B8"/>
    <w:rsid w:val="00783351"/>
    <w:rsid w:val="00784C7D"/>
    <w:rsid w:val="00784EBE"/>
    <w:rsid w:val="00785F93"/>
    <w:rsid w:val="00786ADA"/>
    <w:rsid w:val="0079678A"/>
    <w:rsid w:val="007A085F"/>
    <w:rsid w:val="007A2F27"/>
    <w:rsid w:val="007A6244"/>
    <w:rsid w:val="007B6DD0"/>
    <w:rsid w:val="007C6772"/>
    <w:rsid w:val="007C7C37"/>
    <w:rsid w:val="007E3139"/>
    <w:rsid w:val="007E5E3E"/>
    <w:rsid w:val="007F02D5"/>
    <w:rsid w:val="007F03B2"/>
    <w:rsid w:val="007F17CE"/>
    <w:rsid w:val="007F18C0"/>
    <w:rsid w:val="007F4B64"/>
    <w:rsid w:val="007F6CC7"/>
    <w:rsid w:val="008009A7"/>
    <w:rsid w:val="00801371"/>
    <w:rsid w:val="00801BF4"/>
    <w:rsid w:val="00815E7F"/>
    <w:rsid w:val="008167FD"/>
    <w:rsid w:val="00817DED"/>
    <w:rsid w:val="00822B03"/>
    <w:rsid w:val="00823BEF"/>
    <w:rsid w:val="00826314"/>
    <w:rsid w:val="008266EB"/>
    <w:rsid w:val="00832C18"/>
    <w:rsid w:val="00834EDA"/>
    <w:rsid w:val="00837799"/>
    <w:rsid w:val="00837D74"/>
    <w:rsid w:val="00840DF1"/>
    <w:rsid w:val="00851294"/>
    <w:rsid w:val="0085154D"/>
    <w:rsid w:val="00851C16"/>
    <w:rsid w:val="0085592A"/>
    <w:rsid w:val="00857699"/>
    <w:rsid w:val="008606AC"/>
    <w:rsid w:val="008615E1"/>
    <w:rsid w:val="00861EBA"/>
    <w:rsid w:val="00863D2C"/>
    <w:rsid w:val="0087569A"/>
    <w:rsid w:val="00875E92"/>
    <w:rsid w:val="00877410"/>
    <w:rsid w:val="0088043A"/>
    <w:rsid w:val="008833E2"/>
    <w:rsid w:val="008839F4"/>
    <w:rsid w:val="00883A2E"/>
    <w:rsid w:val="00886A2D"/>
    <w:rsid w:val="00886EE3"/>
    <w:rsid w:val="008A282F"/>
    <w:rsid w:val="008A5960"/>
    <w:rsid w:val="008A74D9"/>
    <w:rsid w:val="008B1BF7"/>
    <w:rsid w:val="008B1FC4"/>
    <w:rsid w:val="008D08B8"/>
    <w:rsid w:val="008D2429"/>
    <w:rsid w:val="008D370A"/>
    <w:rsid w:val="008E5D7D"/>
    <w:rsid w:val="008F0773"/>
    <w:rsid w:val="008F402F"/>
    <w:rsid w:val="008F45D4"/>
    <w:rsid w:val="008F7FD2"/>
    <w:rsid w:val="009010AF"/>
    <w:rsid w:val="0090767D"/>
    <w:rsid w:val="00907927"/>
    <w:rsid w:val="00913015"/>
    <w:rsid w:val="00917714"/>
    <w:rsid w:val="00917B4C"/>
    <w:rsid w:val="0092332F"/>
    <w:rsid w:val="009257E0"/>
    <w:rsid w:val="00932B5A"/>
    <w:rsid w:val="00932F4F"/>
    <w:rsid w:val="00940204"/>
    <w:rsid w:val="00941D6D"/>
    <w:rsid w:val="00945E76"/>
    <w:rsid w:val="009501A3"/>
    <w:rsid w:val="00953ACB"/>
    <w:rsid w:val="00953F19"/>
    <w:rsid w:val="00954940"/>
    <w:rsid w:val="00955336"/>
    <w:rsid w:val="009613C9"/>
    <w:rsid w:val="00962555"/>
    <w:rsid w:val="00966C74"/>
    <w:rsid w:val="0096757F"/>
    <w:rsid w:val="00970078"/>
    <w:rsid w:val="009756A3"/>
    <w:rsid w:val="0097611A"/>
    <w:rsid w:val="00976DDD"/>
    <w:rsid w:val="0098216C"/>
    <w:rsid w:val="0098773C"/>
    <w:rsid w:val="009A09C2"/>
    <w:rsid w:val="009A618D"/>
    <w:rsid w:val="009B2E02"/>
    <w:rsid w:val="009B4515"/>
    <w:rsid w:val="009B5D07"/>
    <w:rsid w:val="009B7276"/>
    <w:rsid w:val="009C1943"/>
    <w:rsid w:val="009C281B"/>
    <w:rsid w:val="009C3669"/>
    <w:rsid w:val="009D2B82"/>
    <w:rsid w:val="009E059F"/>
    <w:rsid w:val="009E1CA1"/>
    <w:rsid w:val="009E4250"/>
    <w:rsid w:val="00A009F5"/>
    <w:rsid w:val="00A10B53"/>
    <w:rsid w:val="00A1571D"/>
    <w:rsid w:val="00A21879"/>
    <w:rsid w:val="00A21E55"/>
    <w:rsid w:val="00A2246B"/>
    <w:rsid w:val="00A22EC4"/>
    <w:rsid w:val="00A3199E"/>
    <w:rsid w:val="00A457E5"/>
    <w:rsid w:val="00A5056D"/>
    <w:rsid w:val="00A53B32"/>
    <w:rsid w:val="00A55156"/>
    <w:rsid w:val="00A5649A"/>
    <w:rsid w:val="00A61375"/>
    <w:rsid w:val="00A6552F"/>
    <w:rsid w:val="00A65D37"/>
    <w:rsid w:val="00A66829"/>
    <w:rsid w:val="00A77858"/>
    <w:rsid w:val="00A8460F"/>
    <w:rsid w:val="00A902DD"/>
    <w:rsid w:val="00AA4BF7"/>
    <w:rsid w:val="00AA5086"/>
    <w:rsid w:val="00AA54E0"/>
    <w:rsid w:val="00AA5FD8"/>
    <w:rsid w:val="00AA649B"/>
    <w:rsid w:val="00AB125C"/>
    <w:rsid w:val="00AB39E5"/>
    <w:rsid w:val="00AB4372"/>
    <w:rsid w:val="00AB4710"/>
    <w:rsid w:val="00AB7C1D"/>
    <w:rsid w:val="00AC3B27"/>
    <w:rsid w:val="00AC51F8"/>
    <w:rsid w:val="00AC584C"/>
    <w:rsid w:val="00AD00FC"/>
    <w:rsid w:val="00AD5F1C"/>
    <w:rsid w:val="00AD6776"/>
    <w:rsid w:val="00AD6EB9"/>
    <w:rsid w:val="00AE01AA"/>
    <w:rsid w:val="00AE2F1E"/>
    <w:rsid w:val="00AE6495"/>
    <w:rsid w:val="00AE7506"/>
    <w:rsid w:val="00AF1D41"/>
    <w:rsid w:val="00AF2217"/>
    <w:rsid w:val="00AF3377"/>
    <w:rsid w:val="00AF439D"/>
    <w:rsid w:val="00AF7EB1"/>
    <w:rsid w:val="00B00F01"/>
    <w:rsid w:val="00B00F52"/>
    <w:rsid w:val="00B0147A"/>
    <w:rsid w:val="00B030F6"/>
    <w:rsid w:val="00B03D40"/>
    <w:rsid w:val="00B06A1A"/>
    <w:rsid w:val="00B07AA2"/>
    <w:rsid w:val="00B103A0"/>
    <w:rsid w:val="00B26956"/>
    <w:rsid w:val="00B3528D"/>
    <w:rsid w:val="00B40196"/>
    <w:rsid w:val="00B4217A"/>
    <w:rsid w:val="00B47317"/>
    <w:rsid w:val="00B5003D"/>
    <w:rsid w:val="00B50CA0"/>
    <w:rsid w:val="00B50D73"/>
    <w:rsid w:val="00B523FD"/>
    <w:rsid w:val="00B5466B"/>
    <w:rsid w:val="00B65126"/>
    <w:rsid w:val="00B65A09"/>
    <w:rsid w:val="00B6712E"/>
    <w:rsid w:val="00B70BE4"/>
    <w:rsid w:val="00B7149F"/>
    <w:rsid w:val="00B72427"/>
    <w:rsid w:val="00B73C88"/>
    <w:rsid w:val="00B77CE9"/>
    <w:rsid w:val="00B80D6E"/>
    <w:rsid w:val="00B81903"/>
    <w:rsid w:val="00B81925"/>
    <w:rsid w:val="00B93DB3"/>
    <w:rsid w:val="00BA6804"/>
    <w:rsid w:val="00BA6A9B"/>
    <w:rsid w:val="00BB0F32"/>
    <w:rsid w:val="00BB4FE4"/>
    <w:rsid w:val="00BB5598"/>
    <w:rsid w:val="00BB55A2"/>
    <w:rsid w:val="00BB5C2B"/>
    <w:rsid w:val="00BB7853"/>
    <w:rsid w:val="00BC4937"/>
    <w:rsid w:val="00BD137A"/>
    <w:rsid w:val="00BD2D34"/>
    <w:rsid w:val="00BD61A7"/>
    <w:rsid w:val="00BE2E81"/>
    <w:rsid w:val="00BE411A"/>
    <w:rsid w:val="00BF36F8"/>
    <w:rsid w:val="00BF4C70"/>
    <w:rsid w:val="00C0001D"/>
    <w:rsid w:val="00C01614"/>
    <w:rsid w:val="00C058B7"/>
    <w:rsid w:val="00C120DA"/>
    <w:rsid w:val="00C170B3"/>
    <w:rsid w:val="00C20D51"/>
    <w:rsid w:val="00C252A8"/>
    <w:rsid w:val="00C27829"/>
    <w:rsid w:val="00C313EE"/>
    <w:rsid w:val="00C35A29"/>
    <w:rsid w:val="00C414F6"/>
    <w:rsid w:val="00C45FEC"/>
    <w:rsid w:val="00C5285C"/>
    <w:rsid w:val="00C5399E"/>
    <w:rsid w:val="00C53E3E"/>
    <w:rsid w:val="00C540D8"/>
    <w:rsid w:val="00C54C50"/>
    <w:rsid w:val="00C56789"/>
    <w:rsid w:val="00C611A7"/>
    <w:rsid w:val="00C67399"/>
    <w:rsid w:val="00C7001B"/>
    <w:rsid w:val="00C74761"/>
    <w:rsid w:val="00C771B0"/>
    <w:rsid w:val="00C7726E"/>
    <w:rsid w:val="00C82C2F"/>
    <w:rsid w:val="00C85AC3"/>
    <w:rsid w:val="00C85D1D"/>
    <w:rsid w:val="00C860E0"/>
    <w:rsid w:val="00C873DF"/>
    <w:rsid w:val="00C934D2"/>
    <w:rsid w:val="00C9472D"/>
    <w:rsid w:val="00CA28AE"/>
    <w:rsid w:val="00CA3D3D"/>
    <w:rsid w:val="00CA5717"/>
    <w:rsid w:val="00CB5010"/>
    <w:rsid w:val="00CC32F6"/>
    <w:rsid w:val="00CD633F"/>
    <w:rsid w:val="00CD7780"/>
    <w:rsid w:val="00CE4524"/>
    <w:rsid w:val="00CE5A1C"/>
    <w:rsid w:val="00D01983"/>
    <w:rsid w:val="00D01B15"/>
    <w:rsid w:val="00D026D7"/>
    <w:rsid w:val="00D0488E"/>
    <w:rsid w:val="00D04D5E"/>
    <w:rsid w:val="00D1068A"/>
    <w:rsid w:val="00D12061"/>
    <w:rsid w:val="00D14993"/>
    <w:rsid w:val="00D225DF"/>
    <w:rsid w:val="00D419C4"/>
    <w:rsid w:val="00D43F92"/>
    <w:rsid w:val="00D51DE9"/>
    <w:rsid w:val="00D52778"/>
    <w:rsid w:val="00D56518"/>
    <w:rsid w:val="00D5692A"/>
    <w:rsid w:val="00D57E76"/>
    <w:rsid w:val="00D60048"/>
    <w:rsid w:val="00D62853"/>
    <w:rsid w:val="00D62F73"/>
    <w:rsid w:val="00D643F0"/>
    <w:rsid w:val="00D645E1"/>
    <w:rsid w:val="00D6488D"/>
    <w:rsid w:val="00D6776F"/>
    <w:rsid w:val="00D747A1"/>
    <w:rsid w:val="00D75AEF"/>
    <w:rsid w:val="00D77E18"/>
    <w:rsid w:val="00D81ACA"/>
    <w:rsid w:val="00D82551"/>
    <w:rsid w:val="00D834BD"/>
    <w:rsid w:val="00D8504B"/>
    <w:rsid w:val="00D862CF"/>
    <w:rsid w:val="00D864A9"/>
    <w:rsid w:val="00D87185"/>
    <w:rsid w:val="00D912AB"/>
    <w:rsid w:val="00D96A31"/>
    <w:rsid w:val="00D97AB3"/>
    <w:rsid w:val="00DA40DB"/>
    <w:rsid w:val="00DA491D"/>
    <w:rsid w:val="00DA5A19"/>
    <w:rsid w:val="00DA62DA"/>
    <w:rsid w:val="00DB506A"/>
    <w:rsid w:val="00DB52BF"/>
    <w:rsid w:val="00DB79CA"/>
    <w:rsid w:val="00DC0879"/>
    <w:rsid w:val="00DC503D"/>
    <w:rsid w:val="00DC5AAB"/>
    <w:rsid w:val="00DD1DBF"/>
    <w:rsid w:val="00DD6732"/>
    <w:rsid w:val="00DD7337"/>
    <w:rsid w:val="00DE32D2"/>
    <w:rsid w:val="00DF0F36"/>
    <w:rsid w:val="00DF3FD9"/>
    <w:rsid w:val="00E00E92"/>
    <w:rsid w:val="00E05B09"/>
    <w:rsid w:val="00E0629D"/>
    <w:rsid w:val="00E13B7A"/>
    <w:rsid w:val="00E1700A"/>
    <w:rsid w:val="00E20DE7"/>
    <w:rsid w:val="00E21B75"/>
    <w:rsid w:val="00E25098"/>
    <w:rsid w:val="00E255CA"/>
    <w:rsid w:val="00E27599"/>
    <w:rsid w:val="00E3223F"/>
    <w:rsid w:val="00E33228"/>
    <w:rsid w:val="00E35C20"/>
    <w:rsid w:val="00E362F8"/>
    <w:rsid w:val="00E3681D"/>
    <w:rsid w:val="00E36F53"/>
    <w:rsid w:val="00E41A70"/>
    <w:rsid w:val="00E4676F"/>
    <w:rsid w:val="00E568C5"/>
    <w:rsid w:val="00E6023B"/>
    <w:rsid w:val="00E61E32"/>
    <w:rsid w:val="00E634A2"/>
    <w:rsid w:val="00E654AB"/>
    <w:rsid w:val="00E6608D"/>
    <w:rsid w:val="00E70B59"/>
    <w:rsid w:val="00E7171F"/>
    <w:rsid w:val="00E72813"/>
    <w:rsid w:val="00E7329C"/>
    <w:rsid w:val="00E733C0"/>
    <w:rsid w:val="00E73BEF"/>
    <w:rsid w:val="00E76EB3"/>
    <w:rsid w:val="00E97D39"/>
    <w:rsid w:val="00EB4E37"/>
    <w:rsid w:val="00EB670F"/>
    <w:rsid w:val="00EB7798"/>
    <w:rsid w:val="00EC001C"/>
    <w:rsid w:val="00EC068E"/>
    <w:rsid w:val="00ED2943"/>
    <w:rsid w:val="00ED520A"/>
    <w:rsid w:val="00EE010E"/>
    <w:rsid w:val="00EE15C8"/>
    <w:rsid w:val="00EE74B7"/>
    <w:rsid w:val="00EF38AF"/>
    <w:rsid w:val="00EF6407"/>
    <w:rsid w:val="00F01ABD"/>
    <w:rsid w:val="00F021AD"/>
    <w:rsid w:val="00F0368F"/>
    <w:rsid w:val="00F0646E"/>
    <w:rsid w:val="00F10D0F"/>
    <w:rsid w:val="00F11234"/>
    <w:rsid w:val="00F12554"/>
    <w:rsid w:val="00F158FF"/>
    <w:rsid w:val="00F17361"/>
    <w:rsid w:val="00F446D4"/>
    <w:rsid w:val="00F46AFE"/>
    <w:rsid w:val="00F47E67"/>
    <w:rsid w:val="00F502EC"/>
    <w:rsid w:val="00F55B04"/>
    <w:rsid w:val="00F55E6E"/>
    <w:rsid w:val="00F61E47"/>
    <w:rsid w:val="00F80495"/>
    <w:rsid w:val="00F8086A"/>
    <w:rsid w:val="00F85A64"/>
    <w:rsid w:val="00F85C0A"/>
    <w:rsid w:val="00F87CB6"/>
    <w:rsid w:val="00F93374"/>
    <w:rsid w:val="00F9743F"/>
    <w:rsid w:val="00FA463E"/>
    <w:rsid w:val="00FA4696"/>
    <w:rsid w:val="00FB3DB1"/>
    <w:rsid w:val="00FC0551"/>
    <w:rsid w:val="00FD29F8"/>
    <w:rsid w:val="00FD5C73"/>
    <w:rsid w:val="00FD790F"/>
    <w:rsid w:val="00FE29BE"/>
    <w:rsid w:val="00FE480E"/>
    <w:rsid w:val="00FE4F84"/>
    <w:rsid w:val="00FE6E6A"/>
    <w:rsid w:val="00FF29F9"/>
    <w:rsid w:val="022B42B4"/>
    <w:rsid w:val="024B474E"/>
    <w:rsid w:val="02C615A2"/>
    <w:rsid w:val="0357714B"/>
    <w:rsid w:val="0393160F"/>
    <w:rsid w:val="05257DE5"/>
    <w:rsid w:val="071122EE"/>
    <w:rsid w:val="07531A99"/>
    <w:rsid w:val="07C11A82"/>
    <w:rsid w:val="07D86362"/>
    <w:rsid w:val="07FD3596"/>
    <w:rsid w:val="096F50F8"/>
    <w:rsid w:val="09A41147"/>
    <w:rsid w:val="09B56C94"/>
    <w:rsid w:val="09F47016"/>
    <w:rsid w:val="0A740EC6"/>
    <w:rsid w:val="0A992185"/>
    <w:rsid w:val="0B32304A"/>
    <w:rsid w:val="0B553E59"/>
    <w:rsid w:val="0C147144"/>
    <w:rsid w:val="0C296C80"/>
    <w:rsid w:val="0CCB79CF"/>
    <w:rsid w:val="0DFA4CA9"/>
    <w:rsid w:val="0E031028"/>
    <w:rsid w:val="0E366929"/>
    <w:rsid w:val="0E917D73"/>
    <w:rsid w:val="0FC7511C"/>
    <w:rsid w:val="0FCC712A"/>
    <w:rsid w:val="0FF76607"/>
    <w:rsid w:val="101E0331"/>
    <w:rsid w:val="10B107F8"/>
    <w:rsid w:val="117F1447"/>
    <w:rsid w:val="11C82C2C"/>
    <w:rsid w:val="12DD3347"/>
    <w:rsid w:val="1387688D"/>
    <w:rsid w:val="13C527FD"/>
    <w:rsid w:val="13D50C28"/>
    <w:rsid w:val="142D14EF"/>
    <w:rsid w:val="1442198A"/>
    <w:rsid w:val="145D676E"/>
    <w:rsid w:val="14E54E9B"/>
    <w:rsid w:val="151612A0"/>
    <w:rsid w:val="15A73D92"/>
    <w:rsid w:val="183028D1"/>
    <w:rsid w:val="18A15E7D"/>
    <w:rsid w:val="19D6574F"/>
    <w:rsid w:val="1A59682E"/>
    <w:rsid w:val="1A5A6C90"/>
    <w:rsid w:val="1A903AFB"/>
    <w:rsid w:val="1A9C2008"/>
    <w:rsid w:val="1B3B35E3"/>
    <w:rsid w:val="1BD13A2B"/>
    <w:rsid w:val="1C105B59"/>
    <w:rsid w:val="1C2216B6"/>
    <w:rsid w:val="1CEB6BD6"/>
    <w:rsid w:val="1D1E252B"/>
    <w:rsid w:val="1D9636DF"/>
    <w:rsid w:val="1E6A4318"/>
    <w:rsid w:val="1F657EE2"/>
    <w:rsid w:val="20402F0A"/>
    <w:rsid w:val="21476BA7"/>
    <w:rsid w:val="21EA1D42"/>
    <w:rsid w:val="224D7E71"/>
    <w:rsid w:val="22610DA8"/>
    <w:rsid w:val="22B325B1"/>
    <w:rsid w:val="22B55875"/>
    <w:rsid w:val="235F2859"/>
    <w:rsid w:val="2562290C"/>
    <w:rsid w:val="264C163C"/>
    <w:rsid w:val="265C0D35"/>
    <w:rsid w:val="26C55211"/>
    <w:rsid w:val="27363334"/>
    <w:rsid w:val="2753038A"/>
    <w:rsid w:val="27847FA9"/>
    <w:rsid w:val="27E47234"/>
    <w:rsid w:val="28045012"/>
    <w:rsid w:val="28387D4E"/>
    <w:rsid w:val="28AF5A27"/>
    <w:rsid w:val="2B0174C3"/>
    <w:rsid w:val="2B224178"/>
    <w:rsid w:val="2BBA71F5"/>
    <w:rsid w:val="2BF0230D"/>
    <w:rsid w:val="2C302963"/>
    <w:rsid w:val="2C671BFB"/>
    <w:rsid w:val="2F1D403B"/>
    <w:rsid w:val="2F9779B5"/>
    <w:rsid w:val="2FAF0604"/>
    <w:rsid w:val="2FE90BED"/>
    <w:rsid w:val="303527E9"/>
    <w:rsid w:val="30792C2B"/>
    <w:rsid w:val="32891FFE"/>
    <w:rsid w:val="32974EF3"/>
    <w:rsid w:val="32C504C4"/>
    <w:rsid w:val="332E094C"/>
    <w:rsid w:val="334E1647"/>
    <w:rsid w:val="33987121"/>
    <w:rsid w:val="33BF3EA3"/>
    <w:rsid w:val="34BA0AE1"/>
    <w:rsid w:val="35224811"/>
    <w:rsid w:val="353F66B7"/>
    <w:rsid w:val="3549322B"/>
    <w:rsid w:val="359609A8"/>
    <w:rsid w:val="375863B2"/>
    <w:rsid w:val="379C4D11"/>
    <w:rsid w:val="383A410C"/>
    <w:rsid w:val="38537687"/>
    <w:rsid w:val="38D06777"/>
    <w:rsid w:val="39072D82"/>
    <w:rsid w:val="3919404D"/>
    <w:rsid w:val="39BF3FF2"/>
    <w:rsid w:val="3A9E085D"/>
    <w:rsid w:val="3AE233AE"/>
    <w:rsid w:val="3B1E1A93"/>
    <w:rsid w:val="3C020F1C"/>
    <w:rsid w:val="3CA10819"/>
    <w:rsid w:val="3D412F01"/>
    <w:rsid w:val="3DBC05DF"/>
    <w:rsid w:val="3E0B3A85"/>
    <w:rsid w:val="3E6E485F"/>
    <w:rsid w:val="3E7D6FE7"/>
    <w:rsid w:val="3F4F7231"/>
    <w:rsid w:val="40491ED2"/>
    <w:rsid w:val="40585731"/>
    <w:rsid w:val="406E1939"/>
    <w:rsid w:val="40A57719"/>
    <w:rsid w:val="41517E9C"/>
    <w:rsid w:val="41BC1121"/>
    <w:rsid w:val="41BC5F96"/>
    <w:rsid w:val="42D4620A"/>
    <w:rsid w:val="42FB2290"/>
    <w:rsid w:val="44275945"/>
    <w:rsid w:val="44853335"/>
    <w:rsid w:val="44C431A2"/>
    <w:rsid w:val="45941E41"/>
    <w:rsid w:val="45A00FDD"/>
    <w:rsid w:val="45ED68F1"/>
    <w:rsid w:val="465E2854"/>
    <w:rsid w:val="46EA77F7"/>
    <w:rsid w:val="47452E0D"/>
    <w:rsid w:val="48592ECE"/>
    <w:rsid w:val="48691363"/>
    <w:rsid w:val="488B38B6"/>
    <w:rsid w:val="48E9462F"/>
    <w:rsid w:val="4928388F"/>
    <w:rsid w:val="496E4757"/>
    <w:rsid w:val="49A061D4"/>
    <w:rsid w:val="49BA0EAD"/>
    <w:rsid w:val="4A604AD9"/>
    <w:rsid w:val="4AE271AB"/>
    <w:rsid w:val="4AF15640"/>
    <w:rsid w:val="4C117EEE"/>
    <w:rsid w:val="4C7F391F"/>
    <w:rsid w:val="4D080439"/>
    <w:rsid w:val="4D162695"/>
    <w:rsid w:val="4D777D50"/>
    <w:rsid w:val="4E283ABD"/>
    <w:rsid w:val="4EDD6607"/>
    <w:rsid w:val="4F886D1F"/>
    <w:rsid w:val="4FD025BE"/>
    <w:rsid w:val="50014216"/>
    <w:rsid w:val="500C23ED"/>
    <w:rsid w:val="50256514"/>
    <w:rsid w:val="503B1837"/>
    <w:rsid w:val="50A140E4"/>
    <w:rsid w:val="50A7624B"/>
    <w:rsid w:val="510A120A"/>
    <w:rsid w:val="51596B6B"/>
    <w:rsid w:val="5195044B"/>
    <w:rsid w:val="52816789"/>
    <w:rsid w:val="52B11A08"/>
    <w:rsid w:val="52D3353E"/>
    <w:rsid w:val="53BD6A07"/>
    <w:rsid w:val="54477607"/>
    <w:rsid w:val="55392125"/>
    <w:rsid w:val="56E30FEC"/>
    <w:rsid w:val="57151DF8"/>
    <w:rsid w:val="57505F21"/>
    <w:rsid w:val="57D52571"/>
    <w:rsid w:val="57DF3802"/>
    <w:rsid w:val="59246EA4"/>
    <w:rsid w:val="592A0611"/>
    <w:rsid w:val="5951102C"/>
    <w:rsid w:val="59772338"/>
    <w:rsid w:val="59801C6F"/>
    <w:rsid w:val="59943D66"/>
    <w:rsid w:val="59AA5B6D"/>
    <w:rsid w:val="5AF427DC"/>
    <w:rsid w:val="5B020D7F"/>
    <w:rsid w:val="5B5639C9"/>
    <w:rsid w:val="5BE56815"/>
    <w:rsid w:val="5C27511B"/>
    <w:rsid w:val="5C2A7959"/>
    <w:rsid w:val="5C9C49AF"/>
    <w:rsid w:val="5CCE57E1"/>
    <w:rsid w:val="5D796F08"/>
    <w:rsid w:val="5E3413D5"/>
    <w:rsid w:val="5E81126B"/>
    <w:rsid w:val="5F00538D"/>
    <w:rsid w:val="5F09658B"/>
    <w:rsid w:val="5F8D3E87"/>
    <w:rsid w:val="5FCA440E"/>
    <w:rsid w:val="60570DB8"/>
    <w:rsid w:val="60EC7520"/>
    <w:rsid w:val="610C4882"/>
    <w:rsid w:val="613A224E"/>
    <w:rsid w:val="618A4BC2"/>
    <w:rsid w:val="61D76EE6"/>
    <w:rsid w:val="620B7543"/>
    <w:rsid w:val="622A5692"/>
    <w:rsid w:val="623E2215"/>
    <w:rsid w:val="62982CCD"/>
    <w:rsid w:val="62EE1292"/>
    <w:rsid w:val="630161E9"/>
    <w:rsid w:val="63665262"/>
    <w:rsid w:val="63A9336F"/>
    <w:rsid w:val="63BA77D1"/>
    <w:rsid w:val="64572765"/>
    <w:rsid w:val="64E75FAB"/>
    <w:rsid w:val="659E3D81"/>
    <w:rsid w:val="65DD6A95"/>
    <w:rsid w:val="66A40C31"/>
    <w:rsid w:val="66C85AF6"/>
    <w:rsid w:val="66FD578D"/>
    <w:rsid w:val="66FE1961"/>
    <w:rsid w:val="678D1E3C"/>
    <w:rsid w:val="68754D62"/>
    <w:rsid w:val="68E7432F"/>
    <w:rsid w:val="691836AB"/>
    <w:rsid w:val="69AB419D"/>
    <w:rsid w:val="69E20B1E"/>
    <w:rsid w:val="6A574C57"/>
    <w:rsid w:val="6ACC19EA"/>
    <w:rsid w:val="6ADF23AE"/>
    <w:rsid w:val="6AEE4377"/>
    <w:rsid w:val="6B067AF8"/>
    <w:rsid w:val="6B496608"/>
    <w:rsid w:val="6B6712DB"/>
    <w:rsid w:val="6C101972"/>
    <w:rsid w:val="6C286EE0"/>
    <w:rsid w:val="6C77554D"/>
    <w:rsid w:val="6D0F517D"/>
    <w:rsid w:val="6D6655C2"/>
    <w:rsid w:val="6E2B0AE0"/>
    <w:rsid w:val="6E4F23E7"/>
    <w:rsid w:val="6E76516A"/>
    <w:rsid w:val="6EC16F8C"/>
    <w:rsid w:val="6EF72976"/>
    <w:rsid w:val="6EF8179A"/>
    <w:rsid w:val="6F92350C"/>
    <w:rsid w:val="701870ED"/>
    <w:rsid w:val="704B5162"/>
    <w:rsid w:val="70B12FF8"/>
    <w:rsid w:val="70F93400"/>
    <w:rsid w:val="7172737E"/>
    <w:rsid w:val="71AF72D0"/>
    <w:rsid w:val="72566D45"/>
    <w:rsid w:val="72FA2A34"/>
    <w:rsid w:val="73444BAC"/>
    <w:rsid w:val="7346511A"/>
    <w:rsid w:val="755F6E10"/>
    <w:rsid w:val="75DC0A8A"/>
    <w:rsid w:val="7641168F"/>
    <w:rsid w:val="76544B51"/>
    <w:rsid w:val="76856789"/>
    <w:rsid w:val="76D87530"/>
    <w:rsid w:val="76DD72A1"/>
    <w:rsid w:val="77C64B4F"/>
    <w:rsid w:val="77C918B1"/>
    <w:rsid w:val="78014865"/>
    <w:rsid w:val="782E7A6E"/>
    <w:rsid w:val="78443ADD"/>
    <w:rsid w:val="78C4251D"/>
    <w:rsid w:val="79396C72"/>
    <w:rsid w:val="79914D5E"/>
    <w:rsid w:val="79B11895"/>
    <w:rsid w:val="7A2F7467"/>
    <w:rsid w:val="7A453BC5"/>
    <w:rsid w:val="7B9527FE"/>
    <w:rsid w:val="7B964B46"/>
    <w:rsid w:val="7BDE3897"/>
    <w:rsid w:val="7BEE3675"/>
    <w:rsid w:val="7C1A4765"/>
    <w:rsid w:val="7C2E1D76"/>
    <w:rsid w:val="7C852D95"/>
    <w:rsid w:val="7CE33387"/>
    <w:rsid w:val="7D13776F"/>
    <w:rsid w:val="7E81400A"/>
    <w:rsid w:val="7F9908C8"/>
    <w:rsid w:val="7FA9594B"/>
    <w:rsid w:val="7FBA5122"/>
    <w:rsid w:val="7FE2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4">
    <w:name w:val="heading 1"/>
    <w:basedOn w:val="1"/>
    <w:next w:val="1"/>
    <w:link w:val="29"/>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5">
    <w:name w:val="heading 2"/>
    <w:basedOn w:val="1"/>
    <w:next w:val="1"/>
    <w:link w:val="30"/>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6">
    <w:name w:val="heading 3"/>
    <w:basedOn w:val="1"/>
    <w:next w:val="1"/>
    <w:link w:val="34"/>
    <w:autoRedefine/>
    <w:unhideWhenUsed/>
    <w:qFormat/>
    <w:uiPriority w:val="9"/>
    <w:pPr>
      <w:keepNext/>
      <w:keepLines/>
      <w:outlineLvl w:val="2"/>
    </w:pPr>
    <w:rPr>
      <w:b/>
      <w:bCs/>
      <w:szCs w:val="32"/>
    </w:rPr>
  </w:style>
  <w:style w:type="paragraph" w:styleId="7">
    <w:name w:val="heading 4"/>
    <w:basedOn w:val="1"/>
    <w:next w:val="1"/>
    <w:link w:val="35"/>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6"/>
    <w:basedOn w:val="1"/>
    <w:next w:val="1"/>
    <w:autoRedefine/>
    <w:qFormat/>
    <w:uiPriority w:val="9"/>
    <w:pPr>
      <w:keepNext/>
      <w:keepLines/>
      <w:spacing w:before="240" w:after="64" w:line="320" w:lineRule="auto"/>
      <w:outlineLvl w:val="5"/>
    </w:pPr>
    <w:rPr>
      <w:rFonts w:ascii="等线 Light" w:hAnsi="等线 Light" w:eastAsia="等线 Light" w:cs="Times New Roman"/>
      <w:b/>
      <w:bCs/>
      <w:sz w:val="24"/>
      <w:szCs w:val="24"/>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200" w:leftChars="200" w:firstLine="420" w:firstLineChars="200"/>
    </w:pPr>
    <w:rPr>
      <w:rFonts w:ascii="Times New Roman"/>
    </w:rPr>
  </w:style>
  <w:style w:type="paragraph" w:styleId="3">
    <w:name w:val="Body Text Indent"/>
    <w:basedOn w:val="1"/>
    <w:autoRedefine/>
    <w:unhideWhenUsed/>
    <w:qFormat/>
    <w:uiPriority w:val="99"/>
    <w:pPr>
      <w:ind w:firstLine="630"/>
    </w:pPr>
  </w:style>
  <w:style w:type="paragraph" w:styleId="9">
    <w:name w:val="Normal Indent"/>
    <w:basedOn w:val="1"/>
    <w:qFormat/>
    <w:uiPriority w:val="0"/>
    <w:pPr>
      <w:ind w:firstLine="420" w:firstLineChars="200"/>
    </w:pPr>
    <w:rPr>
      <w:rFonts w:ascii="Calibri" w:hAnsi="Calibri" w:eastAsia="宋体" w:cs="Times New Roman"/>
      <w:sz w:val="21"/>
      <w:szCs w:val="24"/>
    </w:rPr>
  </w:style>
  <w:style w:type="paragraph" w:styleId="10">
    <w:name w:val="caption"/>
    <w:basedOn w:val="1"/>
    <w:next w:val="1"/>
    <w:unhideWhenUsed/>
    <w:qFormat/>
    <w:uiPriority w:val="0"/>
    <w:rPr>
      <w:rFonts w:eastAsia="黑体" w:asciiTheme="majorHAnsi" w:hAnsiTheme="majorHAnsi" w:cstheme="majorBidi"/>
      <w:sz w:val="20"/>
      <w:szCs w:val="20"/>
    </w:rPr>
  </w:style>
  <w:style w:type="paragraph" w:styleId="11">
    <w:name w:val="annotation text"/>
    <w:basedOn w:val="1"/>
    <w:link w:val="38"/>
    <w:autoRedefine/>
    <w:semiHidden/>
    <w:unhideWhenUsed/>
    <w:qFormat/>
    <w:uiPriority w:val="99"/>
    <w:pPr>
      <w:jc w:val="left"/>
    </w:pPr>
  </w:style>
  <w:style w:type="paragraph" w:styleId="12">
    <w:name w:val="Body Text"/>
    <w:basedOn w:val="1"/>
    <w:next w:val="1"/>
    <w:autoRedefine/>
    <w:qFormat/>
    <w:uiPriority w:val="99"/>
    <w:rPr>
      <w:szCs w:val="21"/>
    </w:rPr>
  </w:style>
  <w:style w:type="paragraph" w:styleId="13">
    <w:name w:val="toc 5"/>
    <w:basedOn w:val="1"/>
    <w:next w:val="1"/>
    <w:qFormat/>
    <w:uiPriority w:val="0"/>
    <w:pPr>
      <w:ind w:left="1680" w:leftChars="800"/>
    </w:pPr>
  </w:style>
  <w:style w:type="paragraph" w:styleId="14">
    <w:name w:val="toc 3"/>
    <w:basedOn w:val="1"/>
    <w:next w:val="1"/>
    <w:autoRedefine/>
    <w:unhideWhenUsed/>
    <w:qFormat/>
    <w:uiPriority w:val="39"/>
    <w:pPr>
      <w:ind w:left="840" w:leftChars="400"/>
    </w:pPr>
  </w:style>
  <w:style w:type="paragraph" w:styleId="15">
    <w:name w:val="Balloon Text"/>
    <w:basedOn w:val="1"/>
    <w:link w:val="36"/>
    <w:semiHidden/>
    <w:unhideWhenUsed/>
    <w:qFormat/>
    <w:uiPriority w:val="99"/>
    <w:pPr>
      <w:spacing w:line="240" w:lineRule="auto"/>
    </w:pPr>
    <w:rPr>
      <w:sz w:val="18"/>
      <w:szCs w:val="18"/>
    </w:rPr>
  </w:style>
  <w:style w:type="paragraph" w:styleId="16">
    <w:name w:val="footer"/>
    <w:basedOn w:val="1"/>
    <w:link w:val="33"/>
    <w:autoRedefine/>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autoRedefine/>
    <w:unhideWhenUsed/>
    <w:qFormat/>
    <w:uiPriority w:val="39"/>
    <w:pPr>
      <w:tabs>
        <w:tab w:val="right" w:leader="dot" w:pos="8296"/>
      </w:tabs>
      <w:ind w:firstLine="0" w:firstLineChars="0"/>
    </w:pPr>
    <w:rPr>
      <w:rFonts w:hAnsi="宋体"/>
      <w:b/>
      <w:bCs/>
    </w:rPr>
  </w:style>
  <w:style w:type="paragraph" w:styleId="19">
    <w:name w:val="toc 2"/>
    <w:basedOn w:val="1"/>
    <w:next w:val="1"/>
    <w:autoRedefine/>
    <w:unhideWhenUsed/>
    <w:qFormat/>
    <w:uiPriority w:val="39"/>
    <w:pPr>
      <w:tabs>
        <w:tab w:val="right" w:leader="dot" w:pos="8296"/>
      </w:tabs>
      <w:ind w:left="560" w:leftChars="200" w:firstLine="0" w:firstLineChars="0"/>
    </w:pPr>
  </w:style>
  <w:style w:type="paragraph" w:styleId="20">
    <w:name w:val="Normal (Web)"/>
    <w:basedOn w:val="1"/>
    <w:autoRedefine/>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1">
    <w:name w:val="annotation subject"/>
    <w:basedOn w:val="11"/>
    <w:next w:val="11"/>
    <w:link w:val="39"/>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4"/>
    <w:autoRedefine/>
    <w:semiHidden/>
    <w:unhideWhenUsed/>
    <w:qFormat/>
    <w:uiPriority w:val="99"/>
    <w:rPr>
      <w:sz w:val="21"/>
      <w:szCs w:val="21"/>
    </w:rPr>
  </w:style>
  <w:style w:type="paragraph" w:customStyle="1" w:styleId="28">
    <w:name w:val="样式1"/>
    <w:basedOn w:val="1"/>
    <w:autoRedefine/>
    <w:qFormat/>
    <w:uiPriority w:val="0"/>
    <w:rPr>
      <w:rFonts w:eastAsia="仿宋_GB2312"/>
      <w:sz w:val="32"/>
    </w:rPr>
  </w:style>
  <w:style w:type="character" w:customStyle="1" w:styleId="29">
    <w:name w:val="标题 1 字符"/>
    <w:basedOn w:val="24"/>
    <w:link w:val="4"/>
    <w:autoRedefine/>
    <w:qFormat/>
    <w:uiPriority w:val="9"/>
    <w:rPr>
      <w:rFonts w:ascii="黑体" w:hAnsi="黑体" w:eastAsia="黑体"/>
      <w:b/>
      <w:bCs/>
      <w:kern w:val="44"/>
      <w:sz w:val="32"/>
      <w:szCs w:val="44"/>
    </w:rPr>
  </w:style>
  <w:style w:type="character" w:customStyle="1" w:styleId="30">
    <w:name w:val="标题 2 字符"/>
    <w:basedOn w:val="24"/>
    <w:link w:val="5"/>
    <w:autoRedefine/>
    <w:qFormat/>
    <w:uiPriority w:val="9"/>
    <w:rPr>
      <w:rFonts w:ascii="楷体" w:hAnsi="楷体" w:eastAsia="楷体" w:cstheme="majorBidi"/>
      <w:b/>
      <w:bCs/>
      <w:sz w:val="32"/>
      <w:szCs w:val="32"/>
    </w:rPr>
  </w:style>
  <w:style w:type="paragraph" w:styleId="31">
    <w:name w:val="List Paragraph"/>
    <w:basedOn w:val="1"/>
    <w:autoRedefine/>
    <w:qFormat/>
    <w:uiPriority w:val="34"/>
    <w:pPr>
      <w:ind w:firstLine="420"/>
    </w:pPr>
  </w:style>
  <w:style w:type="character" w:customStyle="1" w:styleId="32">
    <w:name w:val="页眉 字符"/>
    <w:basedOn w:val="24"/>
    <w:link w:val="17"/>
    <w:autoRedefine/>
    <w:qFormat/>
    <w:uiPriority w:val="99"/>
    <w:rPr>
      <w:rFonts w:ascii="仿宋_GB2312" w:hAnsi="仿宋_GB2312" w:eastAsia="仿宋_GB2312"/>
      <w:sz w:val="18"/>
      <w:szCs w:val="18"/>
    </w:rPr>
  </w:style>
  <w:style w:type="character" w:customStyle="1" w:styleId="33">
    <w:name w:val="页脚 字符"/>
    <w:basedOn w:val="24"/>
    <w:link w:val="16"/>
    <w:autoRedefine/>
    <w:qFormat/>
    <w:uiPriority w:val="99"/>
    <w:rPr>
      <w:rFonts w:ascii="仿宋_GB2312" w:hAnsi="仿宋_GB2312" w:eastAsia="仿宋_GB2312"/>
      <w:sz w:val="18"/>
      <w:szCs w:val="18"/>
    </w:rPr>
  </w:style>
  <w:style w:type="character" w:customStyle="1" w:styleId="34">
    <w:name w:val="标题 3 字符"/>
    <w:basedOn w:val="24"/>
    <w:link w:val="6"/>
    <w:autoRedefine/>
    <w:qFormat/>
    <w:uiPriority w:val="9"/>
    <w:rPr>
      <w:rFonts w:ascii="仿宋_GB2312" w:hAnsi="仿宋_GB2312" w:eastAsia="仿宋_GB2312"/>
      <w:b/>
      <w:bCs/>
      <w:sz w:val="28"/>
      <w:szCs w:val="32"/>
    </w:rPr>
  </w:style>
  <w:style w:type="character" w:customStyle="1" w:styleId="35">
    <w:name w:val="标题 4 字符"/>
    <w:basedOn w:val="24"/>
    <w:link w:val="7"/>
    <w:autoRedefine/>
    <w:qFormat/>
    <w:uiPriority w:val="9"/>
    <w:rPr>
      <w:rFonts w:asciiTheme="majorHAnsi" w:hAnsiTheme="majorHAnsi" w:eastAsiaTheme="majorEastAsia" w:cstheme="majorBidi"/>
      <w:b/>
      <w:bCs/>
      <w:sz w:val="28"/>
      <w:szCs w:val="28"/>
    </w:rPr>
  </w:style>
  <w:style w:type="character" w:customStyle="1" w:styleId="36">
    <w:name w:val="批注框文本 字符"/>
    <w:basedOn w:val="24"/>
    <w:link w:val="15"/>
    <w:autoRedefine/>
    <w:semiHidden/>
    <w:qFormat/>
    <w:uiPriority w:val="99"/>
    <w:rPr>
      <w:rFonts w:ascii="仿宋_GB2312" w:hAnsi="仿宋_GB2312" w:eastAsia="仿宋_GB2312"/>
      <w:sz w:val="18"/>
      <w:szCs w:val="18"/>
    </w:rPr>
  </w:style>
  <w:style w:type="paragraph" w:customStyle="1" w:styleId="37">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8">
    <w:name w:val="批注文字 字符"/>
    <w:basedOn w:val="24"/>
    <w:link w:val="11"/>
    <w:autoRedefine/>
    <w:semiHidden/>
    <w:qFormat/>
    <w:uiPriority w:val="99"/>
    <w:rPr>
      <w:rFonts w:ascii="仿宋_GB2312" w:hAnsi="仿宋_GB2312" w:eastAsia="仿宋_GB2312"/>
      <w:kern w:val="2"/>
      <w:sz w:val="28"/>
      <w:szCs w:val="22"/>
    </w:rPr>
  </w:style>
  <w:style w:type="character" w:customStyle="1" w:styleId="39">
    <w:name w:val="批注主题 字符"/>
    <w:basedOn w:val="38"/>
    <w:link w:val="21"/>
    <w:autoRedefine/>
    <w:semiHidden/>
    <w:qFormat/>
    <w:uiPriority w:val="99"/>
    <w:rPr>
      <w:rFonts w:ascii="仿宋_GB2312" w:hAnsi="仿宋_GB2312" w:eastAsia="仿宋_GB2312"/>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64AB-EF99-4381-9248-93A311950CB9}">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10515</Words>
  <Characters>12365</Characters>
  <Lines>127</Lines>
  <Paragraphs>35</Paragraphs>
  <TotalTime>5</TotalTime>
  <ScaleCrop>false</ScaleCrop>
  <LinksUpToDate>false</LinksUpToDate>
  <CharactersWithSpaces>12431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2020-05-13T03:24:00Z</dcterms:created>
  <dc:creator>腊梅</dc:creator>
  <cp:lastModifiedBy>Sunrise</cp:lastModifiedBy>
  <dcterms:modified xsi:type="dcterms:W3CDTF">2025-03-19T08:47:02Z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D606EF6D1CAE442E9EBAFCD25A318EE8</vt:lpwstr>
  </property>
  <property fmtid="{D5CDD505-2E9C-101B-9397-08002B2CF9AE}" pid="4" name="KSOTemplateDocerSaveRecord">
    <vt:lpwstr>eyJoZGlkIjoiZWU5MjE0NTIwMDJjZWVjNDUzNTk2NjBkNWY1M2YyMTUiLCJ1c2VySWQiOiI0MDgyOTcxNTUifQ==</vt:lpwstr>
  </property>
</Properties>
</file>